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4A" w:rsidRDefault="00520F4A" w:rsidP="00520F4A">
      <w:pPr>
        <w:spacing w:line="0" w:lineRule="atLeast"/>
        <w:ind w:right="-6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32"/>
        </w:rPr>
        <w:t>S</w:t>
      </w:r>
      <w:r>
        <w:rPr>
          <w:rFonts w:ascii="Arial" w:eastAsia="Arial" w:hAnsi="Arial"/>
          <w:b/>
          <w:sz w:val="25"/>
        </w:rPr>
        <w:t>CHEMA DI</w:t>
      </w:r>
      <w:r>
        <w:rPr>
          <w:rFonts w:ascii="Arial" w:eastAsia="Arial" w:hAnsi="Arial"/>
          <w:b/>
          <w:sz w:val="32"/>
        </w:rPr>
        <w:t xml:space="preserve"> P</w:t>
      </w:r>
      <w:r>
        <w:rPr>
          <w:rFonts w:ascii="Arial" w:eastAsia="Arial" w:hAnsi="Arial"/>
          <w:b/>
          <w:sz w:val="25"/>
        </w:rPr>
        <w:t>ATTO DI</w:t>
      </w:r>
      <w:r>
        <w:rPr>
          <w:rFonts w:ascii="Arial" w:eastAsia="Arial" w:hAnsi="Arial"/>
          <w:b/>
          <w:sz w:val="32"/>
        </w:rPr>
        <w:t xml:space="preserve"> I</w:t>
      </w:r>
      <w:r>
        <w:rPr>
          <w:rFonts w:ascii="Arial" w:eastAsia="Arial" w:hAnsi="Arial"/>
          <w:b/>
          <w:sz w:val="25"/>
        </w:rPr>
        <w:t>NTEGRITÀ</w:t>
      </w:r>
    </w:p>
    <w:p w:rsidR="00520F4A" w:rsidRDefault="00520F4A" w:rsidP="00520F4A">
      <w:pPr>
        <w:spacing w:line="0" w:lineRule="atLeast"/>
        <w:ind w:right="-6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32"/>
        </w:rPr>
        <w:t>P</w:t>
      </w:r>
      <w:r>
        <w:rPr>
          <w:rFonts w:ascii="Arial" w:eastAsia="Arial" w:hAnsi="Arial"/>
          <w:b/>
          <w:sz w:val="25"/>
        </w:rPr>
        <w:t>ATTO DI</w:t>
      </w:r>
      <w:r>
        <w:rPr>
          <w:rFonts w:ascii="Arial" w:eastAsia="Arial" w:hAnsi="Arial"/>
          <w:b/>
          <w:sz w:val="32"/>
        </w:rPr>
        <w:t xml:space="preserve"> I</w:t>
      </w:r>
      <w:r>
        <w:rPr>
          <w:rFonts w:ascii="Arial" w:eastAsia="Arial" w:hAnsi="Arial"/>
          <w:b/>
          <w:sz w:val="25"/>
        </w:rPr>
        <w:t>NTEGRITÀ</w:t>
      </w:r>
    </w:p>
    <w:p w:rsidR="00520F4A" w:rsidRDefault="00520F4A" w:rsidP="00520F4A">
      <w:pPr>
        <w:spacing w:line="287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6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Tra l’Ente Comune di </w:t>
      </w:r>
      <w:r w:rsidR="0018471E">
        <w:rPr>
          <w:rFonts w:ascii="Arial" w:eastAsia="Arial" w:hAnsi="Arial"/>
          <w:sz w:val="22"/>
        </w:rPr>
        <w:t>Castel Baronia</w:t>
      </w:r>
      <w:r>
        <w:rPr>
          <w:rFonts w:ascii="Arial" w:eastAsia="Arial" w:hAnsi="Arial"/>
          <w:sz w:val="22"/>
        </w:rPr>
        <w:t xml:space="preserve"> (Av) ed i partecipanti alla gara per l’affidamento dei Lavori/Servizi/Forniture ad oggetto “_________________________________________”.</w:t>
      </w:r>
    </w:p>
    <w:p w:rsidR="00520F4A" w:rsidRDefault="00520F4A" w:rsidP="00520F4A">
      <w:pPr>
        <w:spacing w:line="252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1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5" w:lineRule="auto"/>
        <w:ind w:left="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 presente Patto d’integrità, obbliga stazione appaltante ed operatore economico ad improntare i propri comportamenti ai principi di lealtà, trasparenza e correttezza.</w:t>
      </w:r>
    </w:p>
    <w:p w:rsidR="00520F4A" w:rsidRDefault="00520F4A" w:rsidP="00520F4A">
      <w:pPr>
        <w:spacing w:line="263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7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Nel caso l’operatore economico sia un consorzio ordinario, un raggruppamenti temporaneo o altra aggregazione d’imprese, le obbligazioni del presente investono tutti i partecipanti al consorzio, al raggruppamento, all’aggregazione.</w:t>
      </w:r>
    </w:p>
    <w:p w:rsidR="00520F4A" w:rsidRDefault="00520F4A" w:rsidP="00520F4A">
      <w:pPr>
        <w:spacing w:line="253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2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7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 presente Patto di integrità costituisce parte integrante di ogni contratto affidato dalla stazione appaltante. Pertanto, in sede di gara, l’operatore economico, a pena di esclusione, dichiara di accettare ed approvare la disciplina del presente patto; in caso di aggiudicazione, verrà allegato al contratto d’appalto.</w:t>
      </w:r>
    </w:p>
    <w:p w:rsidR="00520F4A" w:rsidRDefault="00520F4A" w:rsidP="00520F4A">
      <w:pPr>
        <w:spacing w:line="255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3</w:t>
      </w:r>
    </w:p>
    <w:p w:rsidR="00520F4A" w:rsidRDefault="00520F4A" w:rsidP="00520F4A">
      <w:pPr>
        <w:spacing w:line="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L’Appaltatore:</w:t>
      </w:r>
    </w:p>
    <w:p w:rsidR="00520F4A" w:rsidRDefault="00520F4A" w:rsidP="00520F4A">
      <w:pPr>
        <w:spacing w:line="7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dichiara di non aver influenzato in alcun modo, direttamente o indirettamente, la compilazione dei documenti di gara allo scopo di condizionare la scelta dell’aggiudicatario;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dichiara di non aver corrisposto, né promesso di corrispondere ad alcuno, e s’impegna a non corrispondere mai né a promettere mai di corrispondere ad alcuno direttamente o tramite terzi, denaro, regali o altre utilità per agevolare l’aggiudicazione e la gestione del successivo rapporto contrattuale;</w:t>
      </w:r>
    </w:p>
    <w:p w:rsidR="00520F4A" w:rsidRDefault="00520F4A" w:rsidP="00520F4A">
      <w:pPr>
        <w:spacing w:line="265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6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esclude ogni forma di mediazione, o altra opera di terzi, finalizzata all’aggiudicazione ed alla successiva gestione del rapporto contrattuale;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6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assicura di non trovarsi in situazione di controllo o di collegamento, formale o sostanziale, con altri concorrenti e che non si è accordato, e non si accorderà, con altri partecipanti alla procedura;</w:t>
      </w:r>
    </w:p>
    <w:p w:rsidR="00520F4A" w:rsidRDefault="00520F4A" w:rsidP="00520F4A">
      <w:pPr>
        <w:spacing w:line="264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6" w:lineRule="auto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assicura di non aver consolidato intese o pratiche vietate restrittive o lesive della concorrenza e del mercato;</w:t>
      </w:r>
    </w:p>
    <w:p w:rsidR="00520F4A" w:rsidRDefault="00520F4A" w:rsidP="00520F4A">
      <w:pPr>
        <w:spacing w:line="260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8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di applicano, per quanto compatibili, le tutele previste dall’articolo 1 comma 51 della legge 190/2012;</w:t>
      </w:r>
    </w:p>
    <w:p w:rsidR="00520F4A" w:rsidRDefault="00520F4A" w:rsidP="00520F4A">
      <w:pPr>
        <w:spacing w:line="265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informa i propri collaboratori e dipendenti degli obblighi recati dal presente e vigila affinché detti obblighi siano osservati da tutti i collaboratori e dipendenti;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collabora con le forze di pubblica sicurezza, denunciando ogni tentativo di estorsione, intimidazione o condizionamento quali, a titolo d’esempio: richieste di tangenti, pressioni per indirizzare l’assunzione di personale o l’affidamento di subappalti, danneggiamenti o furti di beni personali o in cantiere;</w:t>
      </w:r>
    </w:p>
    <w:p w:rsidR="00520F4A" w:rsidRDefault="00520F4A" w:rsidP="00520F4A">
      <w:pPr>
        <w:spacing w:line="26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9407"/>
        <w:rPr>
          <w:rFonts w:ascii="Times New Roman" w:eastAsia="Times New Roman" w:hAnsi="Times New Roman"/>
          <w:sz w:val="24"/>
        </w:rPr>
        <w:sectPr w:rsidR="00520F4A">
          <w:pgSz w:w="11900" w:h="16838"/>
          <w:pgMar w:top="1423" w:right="1126" w:bottom="430" w:left="1133" w:header="0" w:footer="0" w:gutter="0"/>
          <w:cols w:space="0" w:equalWidth="0">
            <w:col w:w="9647"/>
          </w:cols>
          <w:docGrid w:linePitch="360"/>
        </w:sectPr>
      </w:pPr>
    </w:p>
    <w:p w:rsidR="00520F4A" w:rsidRDefault="00520F4A" w:rsidP="00520F4A">
      <w:pPr>
        <w:numPr>
          <w:ilvl w:val="0"/>
          <w:numId w:val="2"/>
        </w:numPr>
        <w:tabs>
          <w:tab w:val="left" w:pos="367"/>
        </w:tabs>
        <w:spacing w:line="238" w:lineRule="auto"/>
        <w:ind w:left="367" w:hanging="367"/>
        <w:jc w:val="both"/>
        <w:rPr>
          <w:rFonts w:ascii="Arial" w:eastAsia="Arial" w:hAnsi="Arial"/>
          <w:sz w:val="22"/>
        </w:rPr>
      </w:pPr>
      <w:bookmarkStart w:id="0" w:name="page65"/>
      <w:bookmarkEnd w:id="0"/>
      <w:r>
        <w:rPr>
          <w:rFonts w:ascii="Arial" w:eastAsia="Arial" w:hAnsi="Arial"/>
          <w:sz w:val="22"/>
        </w:rPr>
        <w:lastRenderedPageBreak/>
        <w:t>acquisisce, con le stesse modalità e gli stessi adempimenti previsti dalla normativa vigente in materia di subappalto, la preventiva autorizzazione della stazione appaltante anche per cottimi e sub-affidamenti relativi alle seguenti categorie: A. trasporto di materiali a discarica per conto di terzi; B. trasporto, anche transfrontaliero, e smaltimento rifiuti per conto terzi; C. estrazione, fornitura e trasporto terra e materiali inerti; D. confezionamento, fornitura e trasporto di calcestruzzo e di bitume; E. noli a freddo di macchinari; F. forniture di ferro lavorato; G. noli a caldo; H. autotrasporti per conto di terzi; I. guardiania dei cantieri;</w:t>
      </w:r>
    </w:p>
    <w:p w:rsidR="00520F4A" w:rsidRDefault="00520F4A" w:rsidP="00520F4A">
      <w:pPr>
        <w:spacing w:line="267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2"/>
        </w:numPr>
        <w:tabs>
          <w:tab w:val="left" w:pos="367"/>
        </w:tabs>
        <w:spacing w:line="236" w:lineRule="auto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inserisce le clausole di integrità e anticorruzione di cui sopra nei contratti di subappalto, pena il diniego dell’autorizzazione;</w:t>
      </w:r>
    </w:p>
    <w:p w:rsidR="00520F4A" w:rsidRDefault="00520F4A" w:rsidP="00520F4A">
      <w:pPr>
        <w:spacing w:line="260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2"/>
        </w:numPr>
        <w:tabs>
          <w:tab w:val="left" w:pos="367"/>
        </w:tabs>
        <w:spacing w:line="239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comunica tempestivamente, alla Prefettura e all’Autorità Giudiziaria,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:rsidR="00520F4A" w:rsidRDefault="00520F4A" w:rsidP="00520F4A">
      <w:pPr>
        <w:spacing w:line="252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4</w:t>
      </w:r>
    </w:p>
    <w:p w:rsidR="00520F4A" w:rsidRDefault="00520F4A" w:rsidP="00520F4A">
      <w:pPr>
        <w:spacing w:line="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stazione appaltante:</w:t>
      </w:r>
    </w:p>
    <w:p w:rsidR="00520F4A" w:rsidRDefault="00520F4A" w:rsidP="00520F4A">
      <w:pPr>
        <w:spacing w:line="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rispetta i principi di lealtà, trasparenza e correttezza;</w:t>
      </w:r>
    </w:p>
    <w:p w:rsidR="00520F4A" w:rsidRDefault="00520F4A" w:rsidP="00520F4A">
      <w:pPr>
        <w:spacing w:line="261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avvia tempestivamente procedimenti disciplinari nei confronti del personale, intervenuto nella procedura di gara e nell’esecuzione del contratto, in caso di violazione di detti principi;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avvia tempestivamente procedimenti disciplinari nei confronti del personale nel caso di violazione del proprio “</w:t>
      </w:r>
      <w:r>
        <w:rPr>
          <w:rFonts w:ascii="Arial" w:eastAsia="Arial" w:hAnsi="Arial"/>
          <w:i/>
          <w:sz w:val="22"/>
        </w:rPr>
        <w:t>codice di comportamento dei dipendenti”</w:t>
      </w:r>
      <w:r>
        <w:rPr>
          <w:rFonts w:ascii="Arial" w:eastAsia="Arial" w:hAnsi="Arial"/>
          <w:sz w:val="22"/>
        </w:rPr>
        <w:t xml:space="preserve"> e del DPR 62/2013 (</w:t>
      </w:r>
      <w:r>
        <w:rPr>
          <w:rFonts w:ascii="Arial" w:eastAsia="Arial" w:hAnsi="Arial"/>
          <w:i/>
          <w:sz w:val="22"/>
        </w:rPr>
        <w:t>Regolamento recante codice di comportamento dei dipendenti pubblici</w:t>
      </w:r>
      <w:r>
        <w:rPr>
          <w:rFonts w:ascii="Arial" w:eastAsia="Arial" w:hAnsi="Arial"/>
          <w:sz w:val="22"/>
        </w:rPr>
        <w:t>);</w:t>
      </w:r>
    </w:p>
    <w:p w:rsidR="00520F4A" w:rsidRDefault="00520F4A" w:rsidP="00520F4A">
      <w:pPr>
        <w:spacing w:line="261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8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si avvale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 c.p., 318 c.p., 319 c.p., 319-bis c.p., 319-ter c.p., 319-quater c.p., 320 c.p., 322 c.p., 322-bis c.p., 346-bis c.p., 353 c.p. e 353-bis c.p.;</w:t>
      </w:r>
    </w:p>
    <w:p w:rsidR="00520F4A" w:rsidRDefault="00520F4A" w:rsidP="00520F4A">
      <w:pPr>
        <w:spacing w:line="256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segnala, senza indugio, ogni illecito all’Autorità Giudiziaria;</w:t>
      </w:r>
    </w:p>
    <w:p w:rsidR="00520F4A" w:rsidRDefault="00520F4A" w:rsidP="00520F4A">
      <w:pPr>
        <w:spacing w:line="261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rende pubblici i dati riguardanti la procedura e l’aggiudicazione in esecuzione della normativa in materia di trasparenza.</w:t>
      </w:r>
    </w:p>
    <w:p w:rsidR="00520F4A" w:rsidRDefault="00520F4A" w:rsidP="00520F4A">
      <w:pPr>
        <w:spacing w:line="252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5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7" w:lineRule="auto"/>
        <w:ind w:left="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violazione del Patto di integrità è decretata dalla stazione appaltante a conclusione di un procedimento di verifica, nel quale è assicurata all’operatore economico la possibilità di depositare memorie difensive e controdeduzioni.</w:t>
      </w:r>
    </w:p>
    <w:p w:rsidR="00520F4A" w:rsidRDefault="00520F4A" w:rsidP="00520F4A">
      <w:pPr>
        <w:spacing w:line="26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5" w:lineRule="auto"/>
        <w:ind w:left="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violazione da parte dell’operatore economico, sia quale concorrente, sia quale aggiudicatario, di uno degli impegni previsti dal presente può comportare:</w:t>
      </w:r>
    </w:p>
    <w:p w:rsidR="00520F4A" w:rsidRDefault="00520F4A" w:rsidP="00520F4A">
      <w:pPr>
        <w:spacing w:line="255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numPr>
          <w:ilvl w:val="0"/>
          <w:numId w:val="4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l’esclusione dalla gara;</w:t>
      </w:r>
    </w:p>
    <w:p w:rsidR="00520F4A" w:rsidRDefault="00520F4A" w:rsidP="00520F4A">
      <w:pPr>
        <w:spacing w:line="25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4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l’escussione della cauzione provvisoria a corredo dell'offerta;</w:t>
      </w: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343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9407"/>
        <w:rPr>
          <w:rFonts w:ascii="Times New Roman" w:eastAsia="Times New Roman" w:hAnsi="Times New Roman"/>
          <w:sz w:val="24"/>
        </w:rPr>
        <w:sectPr w:rsidR="00520F4A">
          <w:pgSz w:w="11900" w:h="16838"/>
          <w:pgMar w:top="1423" w:right="1126" w:bottom="430" w:left="1133" w:header="0" w:footer="0" w:gutter="0"/>
          <w:cols w:space="0" w:equalWidth="0">
            <w:col w:w="9647"/>
          </w:cols>
          <w:docGrid w:linePitch="360"/>
        </w:sectPr>
      </w:pPr>
      <w:bookmarkStart w:id="1" w:name="_GoBack"/>
      <w:bookmarkEnd w:id="1"/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5" w:lineRule="auto"/>
        <w:ind w:left="367" w:hanging="367"/>
        <w:rPr>
          <w:rFonts w:ascii="Arial" w:eastAsia="Arial" w:hAnsi="Arial"/>
          <w:sz w:val="22"/>
        </w:rPr>
      </w:pPr>
      <w:bookmarkStart w:id="2" w:name="page66"/>
      <w:bookmarkEnd w:id="2"/>
      <w:r>
        <w:rPr>
          <w:rFonts w:ascii="Arial" w:eastAsia="Arial" w:hAnsi="Arial"/>
          <w:sz w:val="22"/>
        </w:rPr>
        <w:lastRenderedPageBreak/>
        <w:t>la risoluzione espressa del contratto ai sensi dell’articolo 1456 del c.c., per grave inadempimento e in danno dell'operatore economico;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l’escussione della cauzione definitiva a garanzia dell’esecuzione del contratto, impregiudicata la prova dell’esistenza di un danno maggiore;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responsabilità per danno arrecato alla stazione appaltante nella misura del 10% del valore del contratto (se non coperto dall'incameramento della cauzione definitiva), impregiudicata la prova dell’esistenza di un danno maggiore;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5" w:lineRule="auto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l’esclusione del concorrente dalle gare indette dalla stazione appaltante per un periodo non inferiore ad anni UNO;</w:t>
      </w:r>
    </w:p>
    <w:p w:rsidR="00520F4A" w:rsidRDefault="00520F4A" w:rsidP="00520F4A">
      <w:pPr>
        <w:spacing w:line="254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segnalazione all’Autorità Nazionale Anticorruzione e all’Autorità Giudiziaria.</w:t>
      </w:r>
    </w:p>
    <w:p w:rsidR="00520F4A" w:rsidRDefault="00520F4A" w:rsidP="00520F4A">
      <w:pPr>
        <w:spacing w:line="25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6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6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 presente vincola l’operatore economico per tutta la durata della procedura di gara e, in caso di aggiudicazione, sino al completamento, a regola d’arte, della prestazione contrattuale.</w:t>
      </w:r>
    </w:p>
    <w:p w:rsidR="00520F4A" w:rsidRDefault="00520F4A" w:rsidP="00520F4A">
      <w:pPr>
        <w:spacing w:line="255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controversie relative all’interpretazione, ed esecuzione del presente Patto d’integrità fra l’Ente</w:t>
      </w: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Comune di </w:t>
      </w:r>
      <w:r w:rsidR="0018471E">
        <w:rPr>
          <w:rFonts w:ascii="Arial" w:eastAsia="Arial" w:hAnsi="Arial"/>
          <w:sz w:val="22"/>
        </w:rPr>
        <w:t>Castel Baronia</w:t>
      </w:r>
      <w:r>
        <w:rPr>
          <w:rFonts w:ascii="Arial" w:eastAsia="Arial" w:hAnsi="Arial"/>
          <w:sz w:val="22"/>
        </w:rPr>
        <w:t xml:space="preserve"> (Av) e i concorrenti e tra gli stessi concorrenti saranno deferite all’Autorità</w:t>
      </w:r>
    </w:p>
    <w:p w:rsidR="00520F4A" w:rsidRDefault="00520F4A" w:rsidP="00520F4A">
      <w:pPr>
        <w:spacing w:line="238" w:lineRule="auto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Giudiziaria competente.</w:t>
      </w:r>
    </w:p>
    <w:p w:rsidR="00520F4A" w:rsidRDefault="00520F4A" w:rsidP="00520F4A">
      <w:pPr>
        <w:spacing w:line="25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Data________________</w:t>
      </w:r>
    </w:p>
    <w:p w:rsidR="00520F4A" w:rsidRDefault="00520F4A" w:rsidP="00520F4A">
      <w:pPr>
        <w:spacing w:line="227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</w:rPr>
      </w:pPr>
      <w:r>
        <w:rPr>
          <w:rFonts w:ascii="Arial" w:eastAsia="Arial" w:hAnsi="Arial"/>
        </w:rPr>
        <w:t xml:space="preserve">Per l’ente Comune di </w:t>
      </w:r>
      <w:r w:rsidR="0018471E">
        <w:rPr>
          <w:rFonts w:ascii="Arial" w:eastAsia="Arial" w:hAnsi="Arial"/>
        </w:rPr>
        <w:t>Castel Baronia</w:t>
      </w:r>
      <w:r>
        <w:rPr>
          <w:rFonts w:ascii="Arial" w:eastAsia="Arial" w:hAnsi="Arial"/>
        </w:rPr>
        <w:t xml:space="preserve"> (Av)</w:t>
      </w:r>
    </w:p>
    <w:p w:rsidR="00520F4A" w:rsidRDefault="00520F4A" w:rsidP="00520F4A">
      <w:pPr>
        <w:spacing w:line="237" w:lineRule="auto"/>
        <w:ind w:left="7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(Responsabile della struttura competente)</w:t>
      </w:r>
    </w:p>
    <w:p w:rsidR="00520F4A" w:rsidRDefault="00520F4A" w:rsidP="00520F4A">
      <w:pPr>
        <w:spacing w:line="23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…………………………........………………</w:t>
      </w:r>
    </w:p>
    <w:p w:rsidR="00520F4A" w:rsidRDefault="00520F4A" w:rsidP="00520F4A">
      <w:pPr>
        <w:spacing w:line="276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r>
        <w:rPr>
          <w:rFonts w:ascii="Arial" w:eastAsia="Arial" w:hAnsi="Arial"/>
        </w:rPr>
        <w:t>Il Legale Rappresentante dell’Operatore</w:t>
      </w: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r>
        <w:rPr>
          <w:rFonts w:ascii="Arial" w:eastAsia="Arial" w:hAnsi="Arial"/>
        </w:rPr>
        <w:t>economico concorrente</w:t>
      </w:r>
    </w:p>
    <w:p w:rsidR="00520F4A" w:rsidRDefault="00520F4A" w:rsidP="00520F4A">
      <w:pPr>
        <w:spacing w:line="229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r>
        <w:rPr>
          <w:rFonts w:ascii="Arial" w:eastAsia="Arial" w:hAnsi="Arial"/>
        </w:rPr>
        <w:t>(......................................................................................)</w:t>
      </w:r>
    </w:p>
    <w:p w:rsidR="00520F4A" w:rsidRDefault="00520F4A" w:rsidP="00520F4A">
      <w:pPr>
        <w:spacing w:line="23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………………………………………….........…………</w:t>
      </w: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D15B72" w:rsidRDefault="00D15B72"/>
    <w:sectPr w:rsidR="00D15B72" w:rsidSect="00606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4"/>
    <w:multiLevelType w:val="hybridMultilevel"/>
    <w:tmpl w:val="649BB77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5"/>
    <w:multiLevelType w:val="hybridMultilevel"/>
    <w:tmpl w:val="275AC794"/>
    <w:lvl w:ilvl="0" w:tplc="FFFFFFFF">
      <w:start w:val="9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6"/>
    <w:multiLevelType w:val="hybridMultilevel"/>
    <w:tmpl w:val="393865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1CF10FD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180115BE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20F4A"/>
    <w:rsid w:val="00175090"/>
    <w:rsid w:val="0018471E"/>
    <w:rsid w:val="004E5164"/>
    <w:rsid w:val="00520F4A"/>
    <w:rsid w:val="006067A6"/>
    <w:rsid w:val="006B416E"/>
    <w:rsid w:val="006E2379"/>
    <w:rsid w:val="007B54FB"/>
    <w:rsid w:val="007D0166"/>
    <w:rsid w:val="00800299"/>
    <w:rsid w:val="00BB24D0"/>
    <w:rsid w:val="00C960C7"/>
    <w:rsid w:val="00D15B72"/>
    <w:rsid w:val="00F7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F4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Amministratore</cp:lastModifiedBy>
  <cp:revision>2</cp:revision>
  <dcterms:created xsi:type="dcterms:W3CDTF">2018-02-06T11:35:00Z</dcterms:created>
  <dcterms:modified xsi:type="dcterms:W3CDTF">2018-02-06T11:35:00Z</dcterms:modified>
</cp:coreProperties>
</file>