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FAC" w:rsidRPr="009C7FAC" w:rsidRDefault="009C7FAC" w:rsidP="009C7FAC">
      <w:pPr>
        <w:spacing w:before="100" w:beforeAutospacing="1" w:after="100" w:afterAutospacing="1" w:line="240" w:lineRule="auto"/>
        <w:jc w:val="center"/>
        <w:rPr>
          <w:rFonts w:eastAsia="Times New Roman" w:cstheme="minorHAnsi"/>
          <w:sz w:val="24"/>
          <w:szCs w:val="24"/>
          <w:lang w:eastAsia="it-IT"/>
        </w:rPr>
      </w:pPr>
      <w:bookmarkStart w:id="0" w:name="inizio"/>
      <w:r w:rsidRPr="009C7FAC">
        <w:rPr>
          <w:rFonts w:eastAsia="Times New Roman" w:cstheme="minorHAnsi"/>
          <w:b/>
          <w:bCs/>
          <w:sz w:val="24"/>
          <w:szCs w:val="24"/>
          <w:lang w:eastAsia="it-IT"/>
        </w:rPr>
        <w:t>Regio Decreto 6 maggio 1940, n. 635</w:t>
      </w:r>
      <w:r w:rsidRPr="009C7FAC">
        <w:rPr>
          <w:rFonts w:eastAsia="Times New Roman" w:cstheme="minorHAnsi"/>
          <w:b/>
          <w:bCs/>
          <w:sz w:val="24"/>
          <w:szCs w:val="24"/>
          <w:lang w:eastAsia="it-IT"/>
        </w:rPr>
        <w:br/>
      </w:r>
      <w:bookmarkEnd w:id="0"/>
      <w:r w:rsidRPr="009C7FAC">
        <w:rPr>
          <w:rFonts w:eastAsia="Times New Roman" w:cstheme="minorHAnsi"/>
          <w:b/>
          <w:bCs/>
          <w:sz w:val="24"/>
          <w:szCs w:val="24"/>
          <w:lang w:eastAsia="it-IT"/>
        </w:rPr>
        <w:t>Approvazione del regolamento per l'esecuzione del testo unico 18 giugno 1931, n. 773 delle leggi di pubblica sicurezza.</w:t>
      </w:r>
      <w:r w:rsidRPr="009C7FAC">
        <w:rPr>
          <w:rFonts w:eastAsia="Times New Roman" w:cstheme="minorHAnsi"/>
          <w:b/>
          <w:bCs/>
          <w:sz w:val="24"/>
          <w:szCs w:val="24"/>
          <w:lang w:eastAsia="it-IT"/>
        </w:rPr>
        <w:br/>
      </w:r>
      <w:r w:rsidRPr="009C7FAC">
        <w:rPr>
          <w:rFonts w:eastAsia="Times New Roman" w:cstheme="minorHAnsi"/>
          <w:color w:val="008000"/>
          <w:sz w:val="24"/>
          <w:szCs w:val="24"/>
          <w:lang w:eastAsia="it-IT"/>
        </w:rPr>
        <w:t>(G.U. 26 giugno 1940, n. 149)</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 xml:space="preserve">da 1 a 140 </w:t>
      </w:r>
      <w:r w:rsidRPr="009C7FAC">
        <w:rPr>
          <w:rFonts w:eastAsia="Times New Roman" w:cstheme="minorHAnsi"/>
          <w:i/>
          <w:iCs/>
          <w:color w:val="FF0000"/>
          <w:sz w:val="24"/>
          <w:szCs w:val="24"/>
          <w:lang w:eastAsia="it-IT"/>
        </w:rPr>
        <w:t>(omissis)</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1" w:name="141"/>
      <w:r w:rsidRPr="009C7FAC">
        <w:rPr>
          <w:rFonts w:eastAsia="Times New Roman" w:cstheme="minorHAnsi"/>
          <w:b/>
          <w:bCs/>
          <w:sz w:val="24"/>
          <w:szCs w:val="24"/>
          <w:lang w:eastAsia="it-IT"/>
        </w:rPr>
        <w:t>141.</w:t>
      </w:r>
      <w:bookmarkEnd w:id="1"/>
      <w:r w:rsidRPr="009C7FAC">
        <w:rPr>
          <w:rFonts w:eastAsia="Times New Roman" w:cstheme="minorHAnsi"/>
          <w:b/>
          <w:bCs/>
          <w:sz w:val="24"/>
          <w:szCs w:val="24"/>
          <w:lang w:eastAsia="it-IT"/>
        </w:rPr>
        <w:t xml:space="preserve"> </w:t>
      </w:r>
      <w:r w:rsidRPr="009C7FAC">
        <w:rPr>
          <w:rFonts w:eastAsia="Times New Roman" w:cstheme="minorHAnsi"/>
          <w:i/>
          <w:iCs/>
          <w:color w:val="FF0000"/>
          <w:sz w:val="24"/>
          <w:szCs w:val="24"/>
          <w:lang w:eastAsia="it-IT"/>
        </w:rPr>
        <w:t xml:space="preserve">(così sostituito dall'art. 4 del </w:t>
      </w:r>
      <w:proofErr w:type="spellStart"/>
      <w:r w:rsidRPr="009C7FAC">
        <w:rPr>
          <w:rFonts w:eastAsia="Times New Roman" w:cstheme="minorHAnsi"/>
          <w:i/>
          <w:iCs/>
          <w:color w:val="FF0000"/>
          <w:sz w:val="24"/>
          <w:szCs w:val="24"/>
          <w:lang w:eastAsia="it-IT"/>
        </w:rPr>
        <w:t>d.P.R.</w:t>
      </w:r>
      <w:proofErr w:type="spellEnd"/>
      <w:r w:rsidRPr="009C7FAC">
        <w:rPr>
          <w:rFonts w:eastAsia="Times New Roman" w:cstheme="minorHAnsi"/>
          <w:i/>
          <w:iCs/>
          <w:color w:val="FF0000"/>
          <w:sz w:val="24"/>
          <w:szCs w:val="24"/>
          <w:lang w:eastAsia="it-IT"/>
        </w:rPr>
        <w:t xml:space="preserve"> n. 311 del 2001)</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l'applicazione dell'articolo 80 della legge sono istituite commissioni di vigilanza aventi i seguenti compiti:</w:t>
      </w:r>
    </w:p>
    <w:p w:rsidR="009C7FAC" w:rsidRPr="009C7FAC" w:rsidRDefault="009C7FAC" w:rsidP="009C7FAC">
      <w:pPr>
        <w:spacing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a) esprimere il parere sui progetti di nuovi teatri e di altri locali o impianti di pubblico spettacolo e trattenimento, o di sostanziali modificazioni a quelli esistenti;</w:t>
      </w:r>
      <w:r w:rsidRPr="009C7FAC">
        <w:rPr>
          <w:rFonts w:eastAsia="Times New Roman" w:cstheme="minorHAnsi"/>
          <w:sz w:val="24"/>
          <w:szCs w:val="24"/>
          <w:lang w:eastAsia="it-IT"/>
        </w:rPr>
        <w:br/>
        <w:t>b) verificare le condizioni di solidità, di sicurezza e di igiene dei locali stessi o degli impianti ed indicare le misure e le cautele ritenute necessarie sia nell'interesse dell'igiene che della prevenzione degli infortuni;</w:t>
      </w:r>
      <w:r w:rsidRPr="009C7FAC">
        <w:rPr>
          <w:rFonts w:eastAsia="Times New Roman" w:cstheme="minorHAnsi"/>
          <w:sz w:val="24"/>
          <w:szCs w:val="24"/>
          <w:lang w:eastAsia="it-IT"/>
        </w:rPr>
        <w:br/>
        <w:t>c) accertare la conformità alle disposizioni vigenti e la visibilità delle scritte e degli avvisi per il pubblico prescritti per la sicurezza e per l'incolumità pubblica;</w:t>
      </w:r>
      <w:r w:rsidRPr="009C7FAC">
        <w:rPr>
          <w:rFonts w:eastAsia="Times New Roman" w:cstheme="minorHAnsi"/>
          <w:sz w:val="24"/>
          <w:szCs w:val="24"/>
          <w:lang w:eastAsia="it-IT"/>
        </w:rPr>
        <w:br/>
        <w:t>d) accertare, ai sensi dell'articolo 4 del decreto legislativo 8 gennaio 1998, n. 3, anche avvalendosi di personale tecnico di altre amministrazioni pubbliche, gli aspetti tecnici di sicurezza e di igiene al fine della iscrizione nell'elenco di cui all'articolo 4 della legge 18 marzo 1968, n. 337;</w:t>
      </w:r>
      <w:r w:rsidRPr="009C7FAC">
        <w:rPr>
          <w:rFonts w:eastAsia="Times New Roman" w:cstheme="minorHAnsi"/>
          <w:sz w:val="24"/>
          <w:szCs w:val="24"/>
          <w:lang w:eastAsia="it-IT"/>
        </w:rPr>
        <w:br/>
        <w:t>e) controllare con frequenza che vengano osservate le norme e le cautele imposte e che i meccanismi di sicurezza funzionino regolarmente, suggerendo all'autorità competente gli eventuali provvedimenti.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i locali e gli impianti con capienza complessiva pari o inferiore a 200 persone, le verifiche e gli accertamenti di cui al primo comma sono sostituiti, ferme restando le disposizioni sanitarie vigenti, da una relazione tecnica di un professionista iscritto nell'albo degli ingegneri o nell'albo degli architetti o nell'albo dei periti industriali o nell'albo dei geometri che attesta la rispondenza del locale o dell'impianto alle regole tecniche stabilite con decreto del Ministro dell'interno.</w:t>
      </w:r>
      <w:r w:rsidRPr="009C7FAC">
        <w:rPr>
          <w:rFonts w:eastAsia="Times New Roman" w:cstheme="minorHAnsi"/>
          <w:sz w:val="24"/>
          <w:szCs w:val="24"/>
          <w:lang w:eastAsia="it-IT"/>
        </w:rPr>
        <w:br/>
      </w:r>
      <w:r w:rsidRPr="009C7FAC">
        <w:rPr>
          <w:rFonts w:eastAsia="Times New Roman" w:cstheme="minorHAnsi"/>
          <w:i/>
          <w:iCs/>
          <w:color w:val="FF0000"/>
          <w:sz w:val="24"/>
          <w:szCs w:val="24"/>
          <w:lang w:eastAsia="it-IT"/>
        </w:rPr>
        <w:t xml:space="preserve">(così modificato dall'art. 1 del </w:t>
      </w:r>
      <w:proofErr w:type="spellStart"/>
      <w:r w:rsidRPr="009C7FAC">
        <w:rPr>
          <w:rFonts w:eastAsia="Times New Roman" w:cstheme="minorHAnsi"/>
          <w:i/>
          <w:iCs/>
          <w:color w:val="FF0000"/>
          <w:sz w:val="24"/>
          <w:szCs w:val="24"/>
          <w:lang w:eastAsia="it-IT"/>
        </w:rPr>
        <w:t>d.P.R.</w:t>
      </w:r>
      <w:proofErr w:type="spellEnd"/>
      <w:r w:rsidRPr="009C7FAC">
        <w:rPr>
          <w:rFonts w:eastAsia="Times New Roman" w:cstheme="minorHAnsi"/>
          <w:i/>
          <w:iCs/>
          <w:color w:val="FF0000"/>
          <w:sz w:val="24"/>
          <w:szCs w:val="24"/>
          <w:lang w:eastAsia="it-IT"/>
        </w:rPr>
        <w:t xml:space="preserve"> n. 293 del 2002)</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Salvo quanto previsto dagli articoli 141-bis e 142 per l'esercizio dei controlli di cui al primo comma, lettera e), e salvo che la natura dei luoghi in cui sono installati gli allestimenti temporanei richiedano una specifica verifica delle condizioni di sicurezza, non occorre una nuova verifica per gli allestimenti temporanei che si ripetono periodicamente, per i quali la commissione provinciale di cui all'articolo 142, nella stessa provincia, o quella comunale di cui all'articolo 141-bis, nello stesso comune, abbia già concesso l'agibilità in data non anteriore a due anni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2" w:name="141.bis"/>
      <w:r w:rsidRPr="009C7FAC">
        <w:rPr>
          <w:rFonts w:eastAsia="Times New Roman" w:cstheme="minorHAnsi"/>
          <w:b/>
          <w:bCs/>
          <w:sz w:val="24"/>
          <w:szCs w:val="24"/>
          <w:lang w:eastAsia="it-IT"/>
        </w:rPr>
        <w:t>141-bis. </w:t>
      </w:r>
      <w:bookmarkEnd w:id="2"/>
      <w:r w:rsidRPr="009C7FAC">
        <w:rPr>
          <w:rFonts w:eastAsia="Times New Roman" w:cstheme="minorHAnsi"/>
          <w:i/>
          <w:iCs/>
          <w:color w:val="FF0000"/>
          <w:sz w:val="24"/>
          <w:szCs w:val="24"/>
          <w:lang w:eastAsia="it-IT"/>
        </w:rPr>
        <w:t xml:space="preserve">(così introdotto dall'art. 4 del </w:t>
      </w:r>
      <w:proofErr w:type="spellStart"/>
      <w:r w:rsidRPr="009C7FAC">
        <w:rPr>
          <w:rFonts w:eastAsia="Times New Roman" w:cstheme="minorHAnsi"/>
          <w:i/>
          <w:iCs/>
          <w:color w:val="FF0000"/>
          <w:sz w:val="24"/>
          <w:szCs w:val="24"/>
          <w:lang w:eastAsia="it-IT"/>
        </w:rPr>
        <w:t>d.P.R.</w:t>
      </w:r>
      <w:proofErr w:type="spellEnd"/>
      <w:r w:rsidRPr="009C7FAC">
        <w:rPr>
          <w:rFonts w:eastAsia="Times New Roman" w:cstheme="minorHAnsi"/>
          <w:i/>
          <w:iCs/>
          <w:color w:val="FF0000"/>
          <w:sz w:val="24"/>
          <w:szCs w:val="24"/>
          <w:lang w:eastAsia="it-IT"/>
        </w:rPr>
        <w:t xml:space="preserve"> n. 311 del 2001)</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 Salvo quanto previsto dall'articolo 142, la commissione di vigilanza è comunale e le relative funzioni possono essere svolte dai comuni anche in forma associata.</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La commissione comunale di vigilanza è nominata ogni tre anni dal sindaco competente ed è composta:</w:t>
      </w:r>
    </w:p>
    <w:p w:rsidR="009C7FAC" w:rsidRPr="009C7FAC" w:rsidRDefault="009C7FAC" w:rsidP="009C7FAC">
      <w:pPr>
        <w:spacing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lastRenderedPageBreak/>
        <w:t>a) dal sindaco o suo delegato che la presiede;</w:t>
      </w:r>
      <w:r w:rsidRPr="009C7FAC">
        <w:rPr>
          <w:rFonts w:eastAsia="Times New Roman" w:cstheme="minorHAnsi"/>
          <w:sz w:val="24"/>
          <w:szCs w:val="24"/>
          <w:lang w:eastAsia="it-IT"/>
        </w:rPr>
        <w:br/>
        <w:t>b) dal comandante del Corpo di polizia municipale o suo delegato;</w:t>
      </w:r>
      <w:r w:rsidRPr="009C7FAC">
        <w:rPr>
          <w:rFonts w:eastAsia="Times New Roman" w:cstheme="minorHAnsi"/>
          <w:sz w:val="24"/>
          <w:szCs w:val="24"/>
          <w:lang w:eastAsia="it-IT"/>
        </w:rPr>
        <w:br/>
        <w:t>c) dal dirigente medico dell'organo sanitario pubblico di base competente per territorio o da un medico dallo stesso delegato;</w:t>
      </w:r>
      <w:r w:rsidRPr="009C7FAC">
        <w:rPr>
          <w:rFonts w:eastAsia="Times New Roman" w:cstheme="minorHAnsi"/>
          <w:sz w:val="24"/>
          <w:szCs w:val="24"/>
          <w:lang w:eastAsia="it-IT"/>
        </w:rPr>
        <w:br/>
        <w:t>d) dal dirigente dell'ufficio tecnico comunale o suo delegato;</w:t>
      </w:r>
      <w:r w:rsidRPr="009C7FAC">
        <w:rPr>
          <w:rFonts w:eastAsia="Times New Roman" w:cstheme="minorHAnsi"/>
          <w:sz w:val="24"/>
          <w:szCs w:val="24"/>
          <w:lang w:eastAsia="it-IT"/>
        </w:rPr>
        <w:br/>
        <w:t>e) dal comandante provinciale dei Vigili del fuoco o suo delegato;</w:t>
      </w:r>
      <w:r w:rsidRPr="009C7FAC">
        <w:rPr>
          <w:rFonts w:eastAsia="Times New Roman" w:cstheme="minorHAnsi"/>
          <w:sz w:val="24"/>
          <w:szCs w:val="24"/>
          <w:lang w:eastAsia="it-IT"/>
        </w:rPr>
        <w:br/>
        <w:t>f) da un esperto in elettrotecnica.</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Alla commissione possono essere aggregati, ove occorra, uno o più esperti in acustica o in altra disciplina tecnica, in relazione alle dotazioni tecnologiche del locale o impianto da verificare.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Possono altresì far parte, su loro richiesta, un rappresentante degli esercenti locali di pubblico spettacolo e un rappresentante delle organizzazioni sindacali dei lavoratori designati dalle rispettive organizzazioni territoriali, tra persone dotate di comprovata e specifica qualificazione professionale.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Quando sono impiegate attrezzature da trattenimento, attrazioni o giochi meccanici, elettromeccanici o elettronici è comunque richiesta una relazione tecnica di un tecnico esperto, dalla quale risulti la rispondenza dell'impianto alle regole tecniche di sicurezza e, per i giochi di cui alla legge 6 ottobre 1995, n. 425, alle disposizioni del relativo regolamento di attuazione.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ogni componente della commissione possono essere previsti uno o più supplenti.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Il parere della commissione è dato per iscritto e deve essere adottato con l'intervento di tutti i componenti.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Gli accessi della commissione sono comunicati al destinatario del provvedimento finale, che può parteciparvi, anche mediante proprio rappresentante, e presentare memorie e documenti.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l'esercizio del controllo di cui all'articolo 141, primo comma, lettera e), il presidente, sentita la commissione, individua i componenti delegati ad effettuarli e, comunque, un medico delegato dal dirigente medico dell'organo sanitario pubblico di base competente per territorio, il comandante dei Vigili del fuoco o suo delegato, o, in mancanza, altro tecnico del luogo.</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142.</w:t>
      </w:r>
      <w:r w:rsidRPr="009C7FAC">
        <w:rPr>
          <w:rFonts w:eastAsia="Times New Roman" w:cstheme="minorHAnsi"/>
          <w:sz w:val="24"/>
          <w:szCs w:val="24"/>
          <w:lang w:eastAsia="it-IT"/>
        </w:rPr>
        <w:t xml:space="preserve"> </w:t>
      </w:r>
      <w:r w:rsidRPr="009C7FAC">
        <w:rPr>
          <w:rFonts w:eastAsia="Times New Roman" w:cstheme="minorHAnsi"/>
          <w:i/>
          <w:iCs/>
          <w:color w:val="FF0000"/>
          <w:sz w:val="24"/>
          <w:szCs w:val="24"/>
          <w:lang w:eastAsia="it-IT"/>
        </w:rPr>
        <w:t xml:space="preserve">(così sostituito dall'art. 4 del </w:t>
      </w:r>
      <w:proofErr w:type="spellStart"/>
      <w:r w:rsidRPr="009C7FAC">
        <w:rPr>
          <w:rFonts w:eastAsia="Times New Roman" w:cstheme="minorHAnsi"/>
          <w:i/>
          <w:iCs/>
          <w:color w:val="FF0000"/>
          <w:sz w:val="24"/>
          <w:szCs w:val="24"/>
          <w:lang w:eastAsia="it-IT"/>
        </w:rPr>
        <w:t>d.P.R.</w:t>
      </w:r>
      <w:proofErr w:type="spellEnd"/>
      <w:r w:rsidRPr="009C7FAC">
        <w:rPr>
          <w:rFonts w:eastAsia="Times New Roman" w:cstheme="minorHAnsi"/>
          <w:i/>
          <w:iCs/>
          <w:color w:val="FF0000"/>
          <w:sz w:val="24"/>
          <w:szCs w:val="24"/>
          <w:lang w:eastAsia="it-IT"/>
        </w:rPr>
        <w:t xml:space="preserve"> n. 311 del 2001)</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Relativamente ai locali o agli impianti indicati nel presente articolo e quando la commissione comunale non è istituita o le sue funzioni non sono esercitate in forma associata, ai compiti di cui al primo comma dell'articolo 141 provvede la commissione provinciale di vigilanza.</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La commissione provinciale di vigilanza è nominata ogni tre anni dal prefetto ed è composta:</w:t>
      </w:r>
    </w:p>
    <w:p w:rsidR="009C7FAC" w:rsidRPr="009C7FAC" w:rsidRDefault="009C7FAC" w:rsidP="009C7FAC">
      <w:pPr>
        <w:spacing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a) dal prefetto o dal vice prefetto con funzioni vicarie, che la presiede;</w:t>
      </w:r>
      <w:r w:rsidRPr="009C7FAC">
        <w:rPr>
          <w:rFonts w:eastAsia="Times New Roman" w:cstheme="minorHAnsi"/>
          <w:sz w:val="24"/>
          <w:szCs w:val="24"/>
          <w:lang w:eastAsia="it-IT"/>
        </w:rPr>
        <w:br/>
        <w:t>b) dal questore o dal vice questore con funzioni vicarie;</w:t>
      </w:r>
      <w:r w:rsidRPr="009C7FAC">
        <w:rPr>
          <w:rFonts w:eastAsia="Times New Roman" w:cstheme="minorHAnsi"/>
          <w:sz w:val="24"/>
          <w:szCs w:val="24"/>
          <w:lang w:eastAsia="it-IT"/>
        </w:rPr>
        <w:br/>
        <w:t>c) dal sindaco del comune in cui si trova o deve essere realizzato il locale o impianto o da un suo delegato;</w:t>
      </w:r>
      <w:r w:rsidRPr="009C7FAC">
        <w:rPr>
          <w:rFonts w:eastAsia="Times New Roman" w:cstheme="minorHAnsi"/>
          <w:sz w:val="24"/>
          <w:szCs w:val="24"/>
          <w:lang w:eastAsia="it-IT"/>
        </w:rPr>
        <w:br/>
        <w:t>d) dal dirigente medico dell'organo sanitario pubblico di base competente per territorio o da un medico dallo stesso delegato;</w:t>
      </w:r>
      <w:r w:rsidRPr="009C7FAC">
        <w:rPr>
          <w:rFonts w:eastAsia="Times New Roman" w:cstheme="minorHAnsi"/>
          <w:sz w:val="24"/>
          <w:szCs w:val="24"/>
          <w:lang w:eastAsia="it-IT"/>
        </w:rPr>
        <w:br/>
        <w:t xml:space="preserve">e) da un ingegnere dell'organismo che, per disposizione regionale, svolge le funzioni del genio </w:t>
      </w:r>
      <w:r w:rsidRPr="009C7FAC">
        <w:rPr>
          <w:rFonts w:eastAsia="Times New Roman" w:cstheme="minorHAnsi"/>
          <w:sz w:val="24"/>
          <w:szCs w:val="24"/>
          <w:lang w:eastAsia="it-IT"/>
        </w:rPr>
        <w:lastRenderedPageBreak/>
        <w:t>civile;</w:t>
      </w:r>
      <w:r w:rsidRPr="009C7FAC">
        <w:rPr>
          <w:rFonts w:eastAsia="Times New Roman" w:cstheme="minorHAnsi"/>
          <w:sz w:val="24"/>
          <w:szCs w:val="24"/>
          <w:lang w:eastAsia="it-IT"/>
        </w:rPr>
        <w:br/>
        <w:t>f) dal comandante provinciale dei Vigili del fuoco o suo delegato;</w:t>
      </w:r>
      <w:r w:rsidRPr="009C7FAC">
        <w:rPr>
          <w:rFonts w:eastAsia="Times New Roman" w:cstheme="minorHAnsi"/>
          <w:sz w:val="24"/>
          <w:szCs w:val="24"/>
          <w:lang w:eastAsia="it-IT"/>
        </w:rPr>
        <w:br/>
        <w:t>g) da un esperto in elettrotecnica.</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Possono essere aggregati, ove occorra, uno o più esperti in acustica o in altra disciplina tecnica, in relazione alle dotazioni tecnologiche del locale o impianto da verificare.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Possono altresì far parte, su loro richiesta, un rappresentante degli esercenti locali di pubblico spettacolo e un rappresentante delle organizzazioni sindacali dei lavoratori designati dalle rispettive organizzazioni territoriali, tra persone dotate di comprovata e specifica qualificazione professionale.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ogni componente possono essere previsti uno o più supplenti, anche al fine di istituire, all'occorrenza, due o più sezioni della commissione provinciale. Relativamente alla composizione delle sezioni, ferma restando la facoltà di avvalersi di supplenti, il questore può delegare un ufficiale di pubblica sicurezza appartenente all'ufficio o comando di polizia competente per territorio e l'ingegnere con funzioni del genio civile può essere sostituito dal dirigente dell'ufficio tecnico comunale o da un suo delegato.</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Il parere della commissione o della sezione è dato per iscritto e deve essere adottato con l'intervento di tutti i componenti.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Si osservano le disposizioni dei commi quarto e settimo dell'articolo 141-bis.</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l'esercizio del controllo di cui all'articolo 141, primo comma, lettera e), la commissione provinciale può delegare il sindaco o altro rappresentante del comune in cui trovasi il locale o impianto da visitare, che provvede avvalendosi del personale specificamente indicato dall'ottavo comma dell'articolo 141-bis.</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Fuori dei casi di cui al comma precedente e di cui all'articolo 141, secondo e terzo comma, la verifica da parte della commissione provinciale di cui al presente articolo è sempre prescritta:</w:t>
      </w:r>
    </w:p>
    <w:p w:rsidR="009C7FAC" w:rsidRPr="009C7FAC" w:rsidRDefault="009C7FAC" w:rsidP="009C7FAC">
      <w:pPr>
        <w:spacing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a) nella composizione di cui al primo comma, eventualmente integrata con gli esperti di cui al secondo comma, per i locali cinematografici o teatrali e per gli spettacoli viaggianti di capienza superiore a 1.300 spettatori e per gli altri locali o gli impianti con capienza superiore a 5.000 spettatori;</w:t>
      </w:r>
      <w:r w:rsidRPr="009C7FAC">
        <w:rPr>
          <w:rFonts w:eastAsia="Times New Roman" w:cstheme="minorHAnsi"/>
          <w:sz w:val="24"/>
          <w:szCs w:val="24"/>
          <w:lang w:eastAsia="it-IT"/>
        </w:rPr>
        <w:br/>
        <w:t>b) con l'integrazione di cui all'articolo 141-bis, terzo comma, per i parchi di divertimento e per le attrezzature da divertimento meccaniche o elettromeccaniche che comportano sollecitazioni fisiche degli spettatori o del pubblico partecipante ai giochi superiori ai livelli indicati con decreto del Ministro dell'interno, di concerto con il Ministro della sanità.</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3" w:name="143"/>
      <w:r w:rsidRPr="009C7FAC">
        <w:rPr>
          <w:rFonts w:eastAsia="Times New Roman" w:cstheme="minorHAnsi"/>
          <w:b/>
          <w:bCs/>
          <w:sz w:val="24"/>
          <w:szCs w:val="24"/>
          <w:lang w:eastAsia="it-IT"/>
        </w:rPr>
        <w:t>143.</w:t>
      </w:r>
      <w:bookmarkEnd w:id="3"/>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Il progetto per la costruzione o la sostanziale rinnovazione di un teatro o di un locale di pubblico spettacolo deve essere presentato al Prefetto per l'approvazione.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 xml:space="preserve">Il prefetto decide sentita la commissione di vigilanza e osservate le norme del R.D.L. 3 febbraio 1936, n. 419, e del R.D.L. 10 settembre 1936, n. 1946. </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4" w:name="144"/>
      <w:r w:rsidRPr="009C7FAC">
        <w:rPr>
          <w:rFonts w:eastAsia="Times New Roman" w:cstheme="minorHAnsi"/>
          <w:b/>
          <w:bCs/>
          <w:sz w:val="24"/>
          <w:szCs w:val="24"/>
          <w:lang w:eastAsia="it-IT"/>
        </w:rPr>
        <w:lastRenderedPageBreak/>
        <w:t>144.</w:t>
      </w:r>
      <w:bookmarkEnd w:id="4"/>
      <w:r w:rsidRPr="009C7FAC">
        <w:rPr>
          <w:rFonts w:eastAsia="Times New Roman" w:cstheme="minorHAnsi"/>
          <w:sz w:val="24"/>
          <w:szCs w:val="24"/>
          <w:lang w:eastAsia="it-IT"/>
        </w:rPr>
        <w:t xml:space="preserve">  </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Sono a carico del conduttore del locale destinato a pubblico spettacolo le spese per la prima ispezione e per le eventuali ispezioni straordinarie richieste dall'autorità o dall'interessato.</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Nessun compenso è invece dovuto ai membri della commissione per la vigilanza da esercitarsi a norma dell'art. 141, primo comma lettera e), del presente regolamento.</w:t>
      </w:r>
      <w:r w:rsidRPr="009C7FAC">
        <w:rPr>
          <w:rFonts w:eastAsia="Times New Roman" w:cstheme="minorHAnsi"/>
          <w:sz w:val="24"/>
          <w:szCs w:val="24"/>
          <w:lang w:eastAsia="it-IT"/>
        </w:rPr>
        <w:br/>
      </w:r>
      <w:r w:rsidRPr="009C7FAC">
        <w:rPr>
          <w:rFonts w:eastAsia="Times New Roman" w:cstheme="minorHAnsi"/>
          <w:i/>
          <w:iCs/>
          <w:color w:val="FF0000"/>
          <w:sz w:val="24"/>
          <w:szCs w:val="24"/>
          <w:lang w:eastAsia="it-IT"/>
        </w:rPr>
        <w:t xml:space="preserve">(così modificato dall'art. 4 del </w:t>
      </w:r>
      <w:proofErr w:type="spellStart"/>
      <w:r w:rsidRPr="009C7FAC">
        <w:rPr>
          <w:rFonts w:eastAsia="Times New Roman" w:cstheme="minorHAnsi"/>
          <w:i/>
          <w:iCs/>
          <w:color w:val="FF0000"/>
          <w:sz w:val="24"/>
          <w:szCs w:val="24"/>
          <w:lang w:eastAsia="it-IT"/>
        </w:rPr>
        <w:t>d.P.R.</w:t>
      </w:r>
      <w:proofErr w:type="spellEnd"/>
      <w:r w:rsidRPr="009C7FAC">
        <w:rPr>
          <w:rFonts w:eastAsia="Times New Roman" w:cstheme="minorHAnsi"/>
          <w:i/>
          <w:iCs/>
          <w:color w:val="FF0000"/>
          <w:sz w:val="24"/>
          <w:szCs w:val="24"/>
          <w:lang w:eastAsia="it-IT"/>
        </w:rPr>
        <w:t xml:space="preserve"> n. 311 del 2001)</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5" w:name="145"/>
      <w:r w:rsidRPr="009C7FAC">
        <w:rPr>
          <w:rFonts w:eastAsia="Times New Roman" w:cstheme="minorHAnsi"/>
          <w:b/>
          <w:bCs/>
          <w:sz w:val="24"/>
          <w:szCs w:val="24"/>
          <w:lang w:eastAsia="it-IT"/>
        </w:rPr>
        <w:t>145.</w:t>
      </w:r>
      <w:bookmarkEnd w:id="5"/>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Tutte le uscite dei locali di pubblico spettacolo devono essere, durante la rappresentazione, libere da impedimenti e aperte, oppure chiuse in modo che ognuno possa aprirne agevolmente le porte.</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Le porte devono essere costruite in modo da poter essere aperte verso l'esterno o, nei casi in cui sia ammesso dalla commissione provinciale di vigilanza, in ambo i sensi (a vento).</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146.</w:t>
      </w:r>
      <w:r w:rsidRPr="009C7FAC">
        <w:rPr>
          <w:rFonts w:eastAsia="Times New Roman" w:cstheme="minorHAnsi"/>
          <w:sz w:val="24"/>
          <w:szCs w:val="24"/>
          <w:lang w:eastAsia="it-IT"/>
        </w:rPr>
        <w:t xml:space="preserve"> </w:t>
      </w:r>
      <w:r w:rsidRPr="009C7FAC">
        <w:rPr>
          <w:rFonts w:eastAsia="Times New Roman" w:cstheme="minorHAnsi"/>
          <w:i/>
          <w:iCs/>
          <w:color w:val="FF0000"/>
          <w:sz w:val="24"/>
          <w:szCs w:val="24"/>
          <w:lang w:eastAsia="it-IT"/>
        </w:rPr>
        <w:t>(abrogato dal decreto legislativo n. 134 del 1998)</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147.</w:t>
      </w:r>
      <w:r w:rsidRPr="009C7FAC">
        <w:rPr>
          <w:rFonts w:eastAsia="Times New Roman" w:cstheme="minorHAnsi"/>
          <w:i/>
          <w:iCs/>
          <w:color w:val="FF0000"/>
          <w:sz w:val="24"/>
          <w:szCs w:val="24"/>
          <w:lang w:eastAsia="it-IT"/>
        </w:rPr>
        <w:t xml:space="preserve"> (abrogato dal decreto legislativo n. 134 del 1998)</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bookmarkStart w:id="6" w:name="148"/>
      <w:r w:rsidRPr="009C7FAC">
        <w:rPr>
          <w:rFonts w:eastAsia="Times New Roman" w:cstheme="minorHAnsi"/>
          <w:b/>
          <w:bCs/>
          <w:sz w:val="24"/>
          <w:szCs w:val="24"/>
          <w:lang w:eastAsia="it-IT"/>
        </w:rPr>
        <w:t>148.</w:t>
      </w:r>
      <w:bookmarkEnd w:id="6"/>
      <w:r w:rsidRPr="009C7FAC">
        <w:rPr>
          <w:rFonts w:eastAsia="Times New Roman" w:cstheme="minorHAnsi"/>
          <w:sz w:val="24"/>
          <w:szCs w:val="24"/>
          <w:lang w:eastAsia="it-IT"/>
        </w:rPr>
        <w:t xml:space="preserve"> </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Il funzionario e gli agenti di pubblica sicurezza del servizio di sorveglianza sui locali di pubblico spettacolo devono verificare ripetutamente, durante la rappresentazione, l'osservanza della disposizione contenuta nell'art. 145, nonché di tutte le altre prescritte dal presente regolamento, dal regolamento prefettizio di cui all'art. 84 della legge e dalla licenza.</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149.</w:t>
      </w:r>
      <w:r w:rsidRPr="009C7FAC">
        <w:rPr>
          <w:rFonts w:eastAsia="Times New Roman" w:cstheme="minorHAnsi"/>
          <w:sz w:val="24"/>
          <w:szCs w:val="24"/>
          <w:lang w:eastAsia="it-IT"/>
        </w:rPr>
        <w:t xml:space="preserve"> </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sz w:val="24"/>
          <w:szCs w:val="24"/>
          <w:lang w:eastAsia="it-IT"/>
        </w:rPr>
        <w:t>Per gli effetti di cui all'art. 83 della legge, è richiesto il consenso dell'ufficiale di pubblica sicurezza che assiste allo spettacolo per ogni comunicazione che l'impresa o gli attori intendano fare a voce, o con qualsiasi altro mezzo, agli spettatori.</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da 150 a 366</w:t>
      </w:r>
      <w:r w:rsidRPr="009C7FAC">
        <w:rPr>
          <w:rFonts w:eastAsia="Times New Roman" w:cstheme="minorHAnsi"/>
          <w:sz w:val="24"/>
          <w:szCs w:val="24"/>
          <w:lang w:eastAsia="it-IT"/>
        </w:rPr>
        <w:t xml:space="preserve"> </w:t>
      </w:r>
      <w:r w:rsidRPr="009C7FAC">
        <w:rPr>
          <w:rFonts w:eastAsia="Times New Roman" w:cstheme="minorHAnsi"/>
          <w:i/>
          <w:iCs/>
          <w:color w:val="FF0000"/>
          <w:sz w:val="24"/>
          <w:szCs w:val="24"/>
          <w:lang w:eastAsia="it-IT"/>
        </w:rPr>
        <w:t>(omissis)</w:t>
      </w:r>
    </w:p>
    <w:p w:rsidR="009C7FAC" w:rsidRPr="009C7FAC" w:rsidRDefault="009C7FAC" w:rsidP="009C7FAC">
      <w:pPr>
        <w:spacing w:before="100" w:beforeAutospacing="1" w:after="100" w:afterAutospacing="1" w:line="240" w:lineRule="auto"/>
        <w:rPr>
          <w:rFonts w:eastAsia="Times New Roman" w:cstheme="minorHAnsi"/>
          <w:sz w:val="24"/>
          <w:szCs w:val="24"/>
          <w:lang w:eastAsia="it-IT"/>
        </w:rPr>
      </w:pPr>
      <w:r w:rsidRPr="009C7FAC">
        <w:rPr>
          <w:rFonts w:eastAsia="Times New Roman" w:cstheme="minorHAnsi"/>
          <w:b/>
          <w:bCs/>
          <w:sz w:val="24"/>
          <w:szCs w:val="24"/>
          <w:lang w:eastAsia="it-IT"/>
        </w:rPr>
        <w:t>ALLEGATI</w:t>
      </w:r>
      <w:r w:rsidRPr="009C7FAC">
        <w:rPr>
          <w:rFonts w:eastAsia="Times New Roman" w:cstheme="minorHAnsi"/>
          <w:b/>
          <w:bCs/>
          <w:color w:val="FF0000"/>
          <w:sz w:val="24"/>
          <w:szCs w:val="24"/>
          <w:lang w:eastAsia="it-IT"/>
        </w:rPr>
        <w:t xml:space="preserve"> (omissis)</w:t>
      </w:r>
    </w:p>
    <w:p w:rsidR="009C7FAC" w:rsidRPr="009C7FAC" w:rsidRDefault="009C7FAC">
      <w:pPr>
        <w:spacing w:before="100" w:beforeAutospacing="1" w:after="100" w:afterAutospacing="1" w:line="240" w:lineRule="auto"/>
        <w:rPr>
          <w:rFonts w:eastAsia="Times New Roman" w:cstheme="minorHAnsi"/>
          <w:sz w:val="24"/>
          <w:szCs w:val="24"/>
          <w:lang w:eastAsia="it-IT"/>
        </w:rPr>
      </w:pPr>
    </w:p>
    <w:sectPr w:rsidR="009C7FAC" w:rsidRPr="009C7FAC" w:rsidSect="004B7CA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9C7FAC"/>
    <w:rsid w:val="000B295C"/>
    <w:rsid w:val="001745FA"/>
    <w:rsid w:val="001F0197"/>
    <w:rsid w:val="003262CD"/>
    <w:rsid w:val="004B7CAD"/>
    <w:rsid w:val="00507713"/>
    <w:rsid w:val="007246AC"/>
    <w:rsid w:val="00777C11"/>
    <w:rsid w:val="00777DA8"/>
    <w:rsid w:val="008971F6"/>
    <w:rsid w:val="008F619E"/>
    <w:rsid w:val="00947859"/>
    <w:rsid w:val="009C7FAC"/>
    <w:rsid w:val="00DE51F0"/>
    <w:rsid w:val="00F5652E"/>
    <w:rsid w:val="00F768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7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C7F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C7F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7F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5235777">
      <w:bodyDiv w:val="1"/>
      <w:marLeft w:val="0"/>
      <w:marRight w:val="0"/>
      <w:marTop w:val="0"/>
      <w:marBottom w:val="0"/>
      <w:divBdr>
        <w:top w:val="none" w:sz="0" w:space="0" w:color="auto"/>
        <w:left w:val="none" w:sz="0" w:space="0" w:color="auto"/>
        <w:bottom w:val="none" w:sz="0" w:space="0" w:color="auto"/>
        <w:right w:val="none" w:sz="0" w:space="0" w:color="auto"/>
      </w:divBdr>
      <w:divsChild>
        <w:div w:id="185048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62477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62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9521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1</cp:revision>
  <dcterms:created xsi:type="dcterms:W3CDTF">2017-07-03T10:51:00Z</dcterms:created>
  <dcterms:modified xsi:type="dcterms:W3CDTF">2017-07-03T10:52:00Z</dcterms:modified>
</cp:coreProperties>
</file>