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05C" w:rsidRDefault="00EC683A" w:rsidP="0025605C">
      <w:pPr>
        <w:autoSpaceDE w:val="0"/>
        <w:autoSpaceDN w:val="0"/>
        <w:adjustRightInd w:val="0"/>
        <w:spacing w:after="60" w:line="271" w:lineRule="auto"/>
        <w:rPr>
          <w:rFonts w:ascii="Tahoma" w:eastAsia="Times New Roman" w:hAnsi="Tahoma" w:cs="Tahoma"/>
          <w:i/>
          <w:color w:val="000000"/>
          <w:sz w:val="20"/>
          <w:szCs w:val="20"/>
        </w:rPr>
      </w:pPr>
      <w:r>
        <w:rPr>
          <w:rFonts w:ascii="Tahoma" w:eastAsia="Times New Roman" w:hAnsi="Tahoma" w:cs="Tahoma"/>
          <w:i/>
          <w:color w:val="000000"/>
          <w:sz w:val="20"/>
          <w:szCs w:val="20"/>
        </w:rPr>
        <w:t>COMUNE DI CASTEL BARONIA (AV)</w:t>
      </w:r>
    </w:p>
    <w:p w:rsidR="00EC683A" w:rsidRPr="0025605C" w:rsidRDefault="00EC683A" w:rsidP="0025605C">
      <w:pPr>
        <w:autoSpaceDE w:val="0"/>
        <w:autoSpaceDN w:val="0"/>
        <w:adjustRightInd w:val="0"/>
        <w:spacing w:after="60" w:line="271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i/>
          <w:color w:val="000000"/>
          <w:sz w:val="20"/>
          <w:szCs w:val="20"/>
        </w:rPr>
        <w:t>15 ottobre 2018</w:t>
      </w:r>
      <w:bookmarkStart w:id="0" w:name="_GoBack"/>
      <w:bookmarkEnd w:id="0"/>
    </w:p>
    <w:p w:rsidR="0025605C" w:rsidRPr="0025605C" w:rsidRDefault="0025605C" w:rsidP="0025605C">
      <w:pPr>
        <w:autoSpaceDE w:val="0"/>
        <w:autoSpaceDN w:val="0"/>
        <w:adjustRightInd w:val="0"/>
        <w:spacing w:after="60" w:line="271" w:lineRule="auto"/>
        <w:rPr>
          <w:rFonts w:ascii="Tahoma" w:eastAsia="Times New Roman" w:hAnsi="Tahoma" w:cs="Tahoma"/>
          <w:color w:val="0F0F0F"/>
          <w:sz w:val="20"/>
          <w:szCs w:val="20"/>
        </w:rPr>
      </w:pPr>
    </w:p>
    <w:p w:rsidR="0025605C" w:rsidRPr="0025605C" w:rsidRDefault="0025605C" w:rsidP="0025605C">
      <w:pPr>
        <w:pBdr>
          <w:top w:val="single" w:sz="6" w:space="0" w:color="auto"/>
        </w:pBdr>
        <w:autoSpaceDE w:val="0"/>
        <w:autoSpaceDN w:val="0"/>
        <w:adjustRightInd w:val="0"/>
        <w:spacing w:after="60" w:line="271" w:lineRule="auto"/>
        <w:rPr>
          <w:rFonts w:ascii="Tahoma" w:eastAsia="Times New Roman" w:hAnsi="Tahoma" w:cs="Times New Roman"/>
          <w:color w:val="0F0F0F"/>
          <w:sz w:val="20"/>
          <w:szCs w:val="24"/>
        </w:rPr>
      </w:pPr>
    </w:p>
    <w:p w:rsidR="0025605C" w:rsidRPr="0025605C" w:rsidRDefault="0025605C" w:rsidP="0025605C">
      <w:pPr>
        <w:tabs>
          <w:tab w:val="left" w:pos="1420"/>
        </w:tabs>
        <w:autoSpaceDE w:val="0"/>
        <w:autoSpaceDN w:val="0"/>
        <w:adjustRightInd w:val="0"/>
        <w:spacing w:after="60" w:line="271" w:lineRule="auto"/>
        <w:ind w:left="1420" w:hanging="1420"/>
        <w:jc w:val="both"/>
        <w:rPr>
          <w:rFonts w:ascii="Tahoma" w:eastAsia="Times New Roman" w:hAnsi="Tahoma" w:cs="Times New Roman"/>
          <w:b/>
          <w:color w:val="000000"/>
          <w:sz w:val="20"/>
          <w:szCs w:val="24"/>
        </w:rPr>
      </w:pPr>
      <w:proofErr w:type="gramStart"/>
      <w:r w:rsidRPr="0025605C">
        <w:rPr>
          <w:rFonts w:ascii="Tahoma" w:eastAsia="Times New Roman" w:hAnsi="Tahoma" w:cs="Times New Roman"/>
          <w:b/>
          <w:color w:val="0F0F0F"/>
          <w:sz w:val="20"/>
          <w:szCs w:val="24"/>
        </w:rPr>
        <w:t>OGGETTO:</w:t>
      </w:r>
      <w:r w:rsidRPr="0025605C">
        <w:rPr>
          <w:rFonts w:ascii="Tahoma" w:eastAsia="Times New Roman" w:hAnsi="Tahoma" w:cs="Times New Roman"/>
          <w:b/>
          <w:color w:val="0F0F0F"/>
          <w:sz w:val="20"/>
          <w:szCs w:val="24"/>
        </w:rPr>
        <w:tab/>
      </w:r>
      <w:proofErr w:type="gramEnd"/>
      <w:r w:rsidRPr="0025605C">
        <w:rPr>
          <w:rFonts w:ascii="Tahoma" w:eastAsia="Times New Roman" w:hAnsi="Tahoma" w:cs="Times New Roman"/>
          <w:b/>
          <w:color w:val="0F0F0F"/>
          <w:sz w:val="20"/>
          <w:szCs w:val="24"/>
        </w:rPr>
        <w:t>Determinazione del corrispettivo a base gara per l'affidamento dei contratti pubblici di servizi attinenti all'architettura e all'ingegneria (D.M. 17/06/2016).</w:t>
      </w:r>
    </w:p>
    <w:p w:rsidR="0025605C" w:rsidRPr="0025605C" w:rsidRDefault="0025605C" w:rsidP="0025605C">
      <w:pPr>
        <w:tabs>
          <w:tab w:val="left" w:pos="1420"/>
        </w:tabs>
        <w:autoSpaceDE w:val="0"/>
        <w:autoSpaceDN w:val="0"/>
        <w:adjustRightInd w:val="0"/>
        <w:spacing w:after="60" w:line="271" w:lineRule="auto"/>
        <w:ind w:left="1420" w:hanging="1420"/>
        <w:jc w:val="both"/>
        <w:rPr>
          <w:rFonts w:ascii="Tahoma" w:eastAsia="Times New Roman" w:hAnsi="Tahoma" w:cs="Times New Roman"/>
          <w:b/>
          <w:color w:val="0F0F0F"/>
          <w:sz w:val="20"/>
          <w:szCs w:val="24"/>
        </w:rPr>
      </w:pPr>
      <w:proofErr w:type="gramStart"/>
      <w:r w:rsidRPr="0025605C">
        <w:rPr>
          <w:rFonts w:ascii="Tahoma" w:eastAsia="Times New Roman" w:hAnsi="Tahoma" w:cs="Times New Roman"/>
          <w:b/>
          <w:color w:val="0F0F0F"/>
          <w:sz w:val="20"/>
          <w:szCs w:val="24"/>
        </w:rPr>
        <w:t>INCARICO:</w:t>
      </w:r>
      <w:r w:rsidRPr="0025605C">
        <w:rPr>
          <w:rFonts w:ascii="Tahoma" w:eastAsia="Times New Roman" w:hAnsi="Tahoma" w:cs="Times New Roman"/>
          <w:b/>
          <w:color w:val="0F0F0F"/>
          <w:sz w:val="20"/>
          <w:szCs w:val="24"/>
        </w:rPr>
        <w:tab/>
      </w:r>
      <w:proofErr w:type="gramEnd"/>
      <w:r w:rsidRPr="0025605C">
        <w:rPr>
          <w:rFonts w:ascii="Tahoma" w:eastAsia="Times New Roman" w:hAnsi="Tahoma" w:cs="Times New Roman"/>
          <w:b/>
          <w:color w:val="0F0F0F"/>
          <w:sz w:val="20"/>
          <w:szCs w:val="24"/>
        </w:rPr>
        <w:t xml:space="preserve">Adeguamento funzionale di palazzo Mancini da destinarsi a Centro di documentazione su </w:t>
      </w:r>
      <w:proofErr w:type="spellStart"/>
      <w:r w:rsidRPr="0025605C">
        <w:rPr>
          <w:rFonts w:ascii="Tahoma" w:eastAsia="Times New Roman" w:hAnsi="Tahoma" w:cs="Times New Roman"/>
          <w:b/>
          <w:color w:val="0F0F0F"/>
          <w:sz w:val="20"/>
          <w:szCs w:val="24"/>
        </w:rPr>
        <w:t>P.S.Mancini</w:t>
      </w:r>
      <w:proofErr w:type="spellEnd"/>
      <w:r w:rsidRPr="0025605C">
        <w:rPr>
          <w:rFonts w:ascii="Tahoma" w:eastAsia="Times New Roman" w:hAnsi="Tahoma" w:cs="Times New Roman"/>
          <w:b/>
          <w:color w:val="0F0F0F"/>
          <w:sz w:val="20"/>
          <w:szCs w:val="24"/>
        </w:rPr>
        <w:t>.</w:t>
      </w:r>
    </w:p>
    <w:p w:rsidR="0025605C" w:rsidRPr="0025605C" w:rsidRDefault="0025605C" w:rsidP="0025605C">
      <w:pPr>
        <w:pBdr>
          <w:bottom w:val="single" w:sz="6" w:space="0" w:color="auto"/>
        </w:pBdr>
        <w:tabs>
          <w:tab w:val="left" w:pos="1420"/>
        </w:tabs>
        <w:autoSpaceDE w:val="0"/>
        <w:autoSpaceDN w:val="0"/>
        <w:adjustRightInd w:val="0"/>
        <w:spacing w:after="60" w:line="271" w:lineRule="auto"/>
        <w:ind w:left="1420" w:hanging="1420"/>
        <w:jc w:val="both"/>
        <w:rPr>
          <w:rFonts w:ascii="Tahoma" w:eastAsia="Times New Roman" w:hAnsi="Tahoma" w:cs="Times New Roman"/>
          <w:color w:val="0F0F0F"/>
          <w:sz w:val="20"/>
          <w:szCs w:val="24"/>
        </w:rPr>
      </w:pPr>
    </w:p>
    <w:p w:rsidR="0025605C" w:rsidRPr="0025605C" w:rsidRDefault="0025605C" w:rsidP="0025605C">
      <w:pPr>
        <w:tabs>
          <w:tab w:val="left" w:pos="426"/>
        </w:tabs>
        <w:autoSpaceDE w:val="0"/>
        <w:autoSpaceDN w:val="0"/>
        <w:adjustRightInd w:val="0"/>
        <w:spacing w:after="60" w:line="269" w:lineRule="auto"/>
        <w:jc w:val="both"/>
        <w:rPr>
          <w:rFonts w:ascii="Tahoma" w:eastAsia="Times New Roman" w:hAnsi="Tahoma" w:cs="Times New Roman"/>
          <w:color w:val="000000"/>
          <w:sz w:val="20"/>
          <w:szCs w:val="24"/>
        </w:rPr>
      </w:pPr>
    </w:p>
    <w:p w:rsidR="0025605C" w:rsidRPr="0025605C" w:rsidRDefault="0025605C" w:rsidP="0025605C">
      <w:pPr>
        <w:autoSpaceDE w:val="0"/>
        <w:autoSpaceDN w:val="0"/>
        <w:adjustRightInd w:val="0"/>
        <w:spacing w:after="60" w:line="269" w:lineRule="auto"/>
        <w:ind w:firstLine="426"/>
        <w:jc w:val="both"/>
        <w:rPr>
          <w:rFonts w:ascii="Tahoma" w:eastAsia="Times New Roman" w:hAnsi="Tahoma" w:cs="Times New Roman"/>
          <w:color w:val="000000"/>
          <w:sz w:val="20"/>
          <w:szCs w:val="24"/>
        </w:rPr>
      </w:pPr>
      <w:r w:rsidRPr="0025605C">
        <w:rPr>
          <w:rFonts w:ascii="Tahoma" w:eastAsia="Times New Roman" w:hAnsi="Tahoma" w:cs="Times New Roman"/>
          <w:color w:val="000000"/>
          <w:sz w:val="20"/>
          <w:szCs w:val="24"/>
        </w:rPr>
        <w:t>Ai sensi del regolamento recante le modalità per la determinazione dei corrispettivi a base di gara per l'affidamento dei contratti pubblici di servizi attinenti all'architettura e all'ingegneria (D.M. 17/06/2016), si identificano le seguenti competenze da porre a base di gara:</w:t>
      </w:r>
    </w:p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imes New Roman"/>
          <w:b/>
          <w:color w:val="000000"/>
          <w:sz w:val="24"/>
          <w:szCs w:val="24"/>
        </w:rPr>
      </w:pPr>
      <w:r w:rsidRPr="0025605C">
        <w:rPr>
          <w:rFonts w:ascii="Tahoma" w:eastAsia="Times New Roman" w:hAnsi="Tahoma" w:cs="Times New Roman"/>
          <w:b/>
          <w:color w:val="000000"/>
          <w:sz w:val="24"/>
          <w:szCs w:val="24"/>
        </w:rPr>
        <w:t>COMPENSO PER PRESTAZIONI PROFESSIONALI</w:t>
      </w: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82"/>
        <w:gridCol w:w="7228"/>
        <w:gridCol w:w="1928"/>
      </w:tblGrid>
      <w:tr w:rsidR="0025605C" w:rsidRPr="0025605C">
        <w:trPr>
          <w:jc w:val="center"/>
        </w:trPr>
        <w:tc>
          <w:tcPr>
            <w:tcW w:w="771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16"/>
                <w:szCs w:val="24"/>
              </w:rPr>
              <w:t>Descrizione</w:t>
            </w:r>
          </w:p>
        </w:tc>
        <w:tc>
          <w:tcPr>
            <w:tcW w:w="192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Importo</w:t>
            </w: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proofErr w:type="gramStart"/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>euro</w:t>
            </w:r>
            <w:proofErr w:type="gramEnd"/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1)</w:t>
            </w:r>
          </w:p>
        </w:tc>
        <w:tc>
          <w:tcPr>
            <w:tcW w:w="72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Edilizia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Edifici e manufatti esistenti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Valore dell'opera [V]: 660'613.38 €</w:t>
            </w:r>
          </w:p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Categoria dell'opera: EDILIZIA</w:t>
            </w:r>
          </w:p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Destinazione funzionale: Edifici e manufatti esistenti</w:t>
            </w:r>
          </w:p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Parametro sul valore dell'opera [P]: 7.6992%</w:t>
            </w:r>
          </w:p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Grado di complessità [G]: 1.55</w:t>
            </w:r>
          </w:p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Descrizione grado di complessità: [E.22] Interventi di manutenzione straordinaria, ristrutturazione, riqualificazione, su edifici e manufatti di interesse storico artistico soggetti a tutela ai sensi del D.Lgs. 42/2004, oppure di particolare importanza.</w:t>
            </w:r>
          </w:p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 xml:space="preserve">Specifiche incidenze [Q]: 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Direzione lavori, assistenza al collaudo, prove di accettazione [QcI.01=0.32]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25'227.52 €</w:t>
            </w: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 xml:space="preserve">Liquidazione (art. 194, comma 1, </w:t>
            </w:r>
            <w:proofErr w:type="spellStart"/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d.P.R.</w:t>
            </w:r>
            <w:proofErr w:type="spellEnd"/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 xml:space="preserve"> 207/2010) - Rendicontazioni e liquidazione tecnico contabile [QcI.02=0.03]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2'365.08 €</w:t>
            </w: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Controllo aggiornamento elaborati di progetto, aggiornamento dei manuali d'uso e manutenzione [QcI.03=0.02]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1'576.72 €</w:t>
            </w: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proofErr w:type="spellStart"/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Contabilita'</w:t>
            </w:r>
            <w:proofErr w:type="spellEnd"/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 xml:space="preserve"> dei lavori a misura: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ab/>
              <w:t>- Fino a 500'000.00 €: QcI.09=0.06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3'580.13 €</w:t>
            </w: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ab/>
              <w:t>- Sull'eccedenza fino a 660'613.38 €: QcI.09=0.12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2'300.07 €</w:t>
            </w: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Certificato di regolare esecuzione [QcI.11=0.04]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3'153.44 €</w:t>
            </w: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Coordinamento della sicurezza in esecuzione [QcI.12=0.25]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19'709.01 €</w:t>
            </w: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>Totale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>57'911.97 €</w:t>
            </w: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TOTALE PRESTAZIONI</w:t>
            </w:r>
          </w:p>
        </w:tc>
        <w:tc>
          <w:tcPr>
            <w:tcW w:w="192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57'911.97 €</w:t>
            </w: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S.E.&amp;O.</w:t>
            </w:r>
          </w:p>
        </w:tc>
      </w:tr>
    </w:tbl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imes New Roman"/>
          <w:b/>
          <w:color w:val="000000"/>
          <w:sz w:val="24"/>
          <w:szCs w:val="24"/>
        </w:rPr>
      </w:pPr>
      <w:r w:rsidRPr="0025605C">
        <w:rPr>
          <w:rFonts w:ascii="Tahoma" w:eastAsia="Times New Roman" w:hAnsi="Tahoma" w:cs="Times New Roman"/>
          <w:b/>
          <w:color w:val="000000"/>
          <w:sz w:val="24"/>
          <w:szCs w:val="24"/>
        </w:rPr>
        <w:t>SPESE E ONERI ACCESSORI</w:t>
      </w: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82"/>
        <w:gridCol w:w="7228"/>
        <w:gridCol w:w="1928"/>
      </w:tblGrid>
      <w:tr w:rsidR="0025605C" w:rsidRPr="0025605C">
        <w:trPr>
          <w:jc w:val="center"/>
        </w:trPr>
        <w:tc>
          <w:tcPr>
            <w:tcW w:w="771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16"/>
                <w:szCs w:val="24"/>
              </w:rPr>
              <w:t>Descrizione</w:t>
            </w:r>
          </w:p>
        </w:tc>
        <w:tc>
          <w:tcPr>
            <w:tcW w:w="192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Importo</w:t>
            </w: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proofErr w:type="gramStart"/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>euro</w:t>
            </w:r>
            <w:proofErr w:type="gramEnd"/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1)</w:t>
            </w:r>
          </w:p>
        </w:tc>
        <w:tc>
          <w:tcPr>
            <w:tcW w:w="72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Spese generali di studio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>14'477.99 €</w:t>
            </w: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TOTALE SPESE E ONERI ACCESSORI</w:t>
            </w:r>
          </w:p>
        </w:tc>
        <w:tc>
          <w:tcPr>
            <w:tcW w:w="192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14'477.99 €</w:t>
            </w: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Per il dettaglio delle voci di spesa ed oneri accessori si rimanda all'apposito allegato.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S.E.&amp;O.</w:t>
            </w:r>
          </w:p>
        </w:tc>
      </w:tr>
    </w:tbl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imes New Roman"/>
          <w:b/>
          <w:color w:val="000000"/>
          <w:sz w:val="24"/>
          <w:szCs w:val="24"/>
        </w:rPr>
      </w:pPr>
      <w:r w:rsidRPr="0025605C">
        <w:rPr>
          <w:rFonts w:ascii="Tahoma" w:eastAsia="Times New Roman" w:hAnsi="Tahoma" w:cs="Times New Roman"/>
          <w:b/>
          <w:color w:val="000000"/>
          <w:sz w:val="24"/>
          <w:szCs w:val="24"/>
        </w:rPr>
        <w:t>RIEPILOGO PER TIPOLOGIA</w:t>
      </w: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807"/>
        <w:gridCol w:w="1831"/>
      </w:tblGrid>
      <w:tr w:rsidR="0025605C" w:rsidRPr="0025605C">
        <w:trPr>
          <w:jc w:val="center"/>
        </w:trPr>
        <w:tc>
          <w:tcPr>
            <w:tcW w:w="780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16"/>
                <w:szCs w:val="24"/>
              </w:rPr>
              <w:t>Descrizione</w:t>
            </w:r>
          </w:p>
        </w:tc>
        <w:tc>
          <w:tcPr>
            <w:tcW w:w="183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Importo</w:t>
            </w:r>
          </w:p>
        </w:tc>
      </w:tr>
      <w:tr w:rsidR="0025605C" w:rsidRPr="0025605C">
        <w:trPr>
          <w:jc w:val="center"/>
        </w:trPr>
        <w:tc>
          <w:tcPr>
            <w:tcW w:w="78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proofErr w:type="gramStart"/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>euro</w:t>
            </w:r>
            <w:proofErr w:type="gramEnd"/>
          </w:p>
        </w:tc>
      </w:tr>
      <w:tr w:rsidR="0025605C" w:rsidRPr="0025605C">
        <w:trPr>
          <w:jc w:val="center"/>
        </w:trPr>
        <w:tc>
          <w:tcPr>
            <w:tcW w:w="78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16"/>
                <w:szCs w:val="24"/>
              </w:rPr>
              <w:t>Prestazioni professionali: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</w:tr>
      <w:tr w:rsidR="0025605C" w:rsidRPr="0025605C">
        <w:trPr>
          <w:jc w:val="center"/>
        </w:trPr>
        <w:tc>
          <w:tcPr>
            <w:tcW w:w="78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>Compenso per prestazioni professionali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>57'911.97 €</w:t>
            </w:r>
          </w:p>
        </w:tc>
      </w:tr>
      <w:tr w:rsidR="0025605C" w:rsidRPr="0025605C">
        <w:trPr>
          <w:jc w:val="center"/>
        </w:trPr>
        <w:tc>
          <w:tcPr>
            <w:tcW w:w="78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>Spese ed oneri accessori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>14'477.99 €</w:t>
            </w:r>
          </w:p>
        </w:tc>
      </w:tr>
      <w:tr w:rsidR="0025605C" w:rsidRPr="0025605C">
        <w:trPr>
          <w:jc w:val="center"/>
        </w:trPr>
        <w:tc>
          <w:tcPr>
            <w:tcW w:w="78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</w:tr>
    </w:tbl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imes New Roman"/>
          <w:b/>
          <w:color w:val="000000"/>
          <w:sz w:val="24"/>
          <w:szCs w:val="24"/>
        </w:rPr>
      </w:pPr>
      <w:r w:rsidRPr="0025605C">
        <w:rPr>
          <w:rFonts w:ascii="Tahoma" w:eastAsia="Times New Roman" w:hAnsi="Tahoma" w:cs="Times New Roman"/>
          <w:b/>
          <w:color w:val="000000"/>
          <w:sz w:val="24"/>
          <w:szCs w:val="24"/>
        </w:rPr>
        <w:t>RIEPILOGO FINALE</w:t>
      </w: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807"/>
        <w:gridCol w:w="1831"/>
      </w:tblGrid>
      <w:tr w:rsidR="0025605C" w:rsidRPr="0025605C">
        <w:trPr>
          <w:jc w:val="center"/>
        </w:trPr>
        <w:tc>
          <w:tcPr>
            <w:tcW w:w="780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16"/>
                <w:szCs w:val="24"/>
              </w:rPr>
              <w:t>Descrizione</w:t>
            </w:r>
          </w:p>
        </w:tc>
        <w:tc>
          <w:tcPr>
            <w:tcW w:w="183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Importo</w:t>
            </w:r>
          </w:p>
        </w:tc>
      </w:tr>
      <w:tr w:rsidR="0025605C" w:rsidRPr="0025605C">
        <w:trPr>
          <w:jc w:val="center"/>
        </w:trPr>
        <w:tc>
          <w:tcPr>
            <w:tcW w:w="78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proofErr w:type="gramStart"/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>euro</w:t>
            </w:r>
            <w:proofErr w:type="gramEnd"/>
          </w:p>
        </w:tc>
      </w:tr>
      <w:tr w:rsidR="0025605C" w:rsidRPr="0025605C">
        <w:trPr>
          <w:jc w:val="center"/>
        </w:trPr>
        <w:tc>
          <w:tcPr>
            <w:tcW w:w="78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Imponibile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>72'389.96 €</w:t>
            </w:r>
          </w:p>
        </w:tc>
      </w:tr>
      <w:tr w:rsidR="0025605C" w:rsidRPr="0025605C">
        <w:trPr>
          <w:jc w:val="center"/>
        </w:trPr>
        <w:tc>
          <w:tcPr>
            <w:tcW w:w="78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TOTALE DOCUMENTO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72'389.96 €</w:t>
            </w:r>
          </w:p>
        </w:tc>
      </w:tr>
      <w:tr w:rsidR="0025605C" w:rsidRPr="0025605C">
        <w:trPr>
          <w:jc w:val="center"/>
        </w:trPr>
        <w:tc>
          <w:tcPr>
            <w:tcW w:w="780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NETTO A PAGARE</w:t>
            </w:r>
          </w:p>
        </w:tc>
        <w:tc>
          <w:tcPr>
            <w:tcW w:w="183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72'389.96 €</w:t>
            </w:r>
          </w:p>
        </w:tc>
      </w:tr>
      <w:tr w:rsidR="0025605C" w:rsidRPr="0025605C">
        <w:trPr>
          <w:jc w:val="center"/>
        </w:trPr>
        <w:tc>
          <w:tcPr>
            <w:tcW w:w="78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ab/>
            </w:r>
            <w:proofErr w:type="spellStart"/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>Diconsi</w:t>
            </w:r>
            <w:proofErr w:type="spellEnd"/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 xml:space="preserve"> euro </w:t>
            </w:r>
            <w:proofErr w:type="spellStart"/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>settantaduemila-trecentoottantanove</w:t>
            </w:r>
            <w:proofErr w:type="spellEnd"/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>/96.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S.E.&amp;O.</w:t>
            </w:r>
          </w:p>
        </w:tc>
      </w:tr>
    </w:tbl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605C" w:rsidRPr="0025605C" w:rsidRDefault="0025605C" w:rsidP="0025605C">
      <w:pPr>
        <w:tabs>
          <w:tab w:val="left" w:pos="426"/>
        </w:tabs>
        <w:autoSpaceDE w:val="0"/>
        <w:autoSpaceDN w:val="0"/>
        <w:adjustRightInd w:val="0"/>
        <w:spacing w:after="60" w:line="269" w:lineRule="auto"/>
        <w:jc w:val="both"/>
        <w:rPr>
          <w:rFonts w:ascii="Tahoma" w:eastAsia="Times New Roman" w:hAnsi="Tahoma" w:cs="Times New Roman"/>
          <w:color w:val="000000"/>
          <w:sz w:val="20"/>
          <w:szCs w:val="24"/>
        </w:r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544"/>
        <w:gridCol w:w="5086"/>
      </w:tblGrid>
      <w:tr w:rsidR="0025605C" w:rsidRPr="0025605C"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after="60" w:line="271" w:lineRule="auto"/>
              <w:jc w:val="center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</w:p>
        </w:tc>
        <w:tc>
          <w:tcPr>
            <w:tcW w:w="50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after="60" w:line="271" w:lineRule="auto"/>
              <w:jc w:val="center"/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IL RESPONSABILE UNICO DEL PROCEDIMENTO</w:t>
            </w:r>
          </w:p>
          <w:p w:rsidR="0025605C" w:rsidRPr="0025605C" w:rsidRDefault="00EC683A" w:rsidP="0025605C">
            <w:pPr>
              <w:autoSpaceDE w:val="0"/>
              <w:autoSpaceDN w:val="0"/>
              <w:adjustRightInd w:val="0"/>
              <w:spacing w:after="60" w:line="271" w:lineRule="auto"/>
              <w:jc w:val="center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>Geom. Nicola Saracino</w:t>
            </w:r>
          </w:p>
        </w:tc>
      </w:tr>
    </w:tbl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imes New Roman"/>
          <w:b/>
          <w:color w:val="000000"/>
          <w:sz w:val="24"/>
          <w:szCs w:val="24"/>
        </w:rPr>
      </w:pPr>
      <w:r w:rsidRPr="0025605C">
        <w:rPr>
          <w:rFonts w:ascii="Times New Roman" w:eastAsia="Times New Roman" w:hAnsi="Times New Roman" w:cs="Times New Roman"/>
          <w:sz w:val="20"/>
          <w:szCs w:val="24"/>
        </w:rPr>
        <w:br w:type="page"/>
      </w:r>
      <w:r w:rsidRPr="0025605C">
        <w:rPr>
          <w:rFonts w:ascii="Tahoma" w:eastAsia="Times New Roman" w:hAnsi="Tahoma" w:cs="Times New Roman"/>
          <w:b/>
          <w:color w:val="000000"/>
          <w:sz w:val="24"/>
          <w:szCs w:val="24"/>
        </w:rPr>
        <w:lastRenderedPageBreak/>
        <w:t>ALLEGATO</w:t>
      </w:r>
    </w:p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imes New Roman"/>
          <w:b/>
          <w:color w:val="000000"/>
          <w:sz w:val="24"/>
          <w:szCs w:val="24"/>
        </w:rPr>
      </w:pPr>
    </w:p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imes New Roman"/>
          <w:i/>
          <w:color w:val="000000"/>
          <w:sz w:val="20"/>
          <w:szCs w:val="24"/>
        </w:rPr>
      </w:pPr>
      <w:r w:rsidRPr="0025605C">
        <w:rPr>
          <w:rFonts w:ascii="Tahoma" w:eastAsia="Times New Roman" w:hAnsi="Tahoma" w:cs="Times New Roman"/>
          <w:i/>
          <w:color w:val="000000"/>
          <w:sz w:val="20"/>
          <w:szCs w:val="24"/>
        </w:rPr>
        <w:t>, lì 09/01/2018</w:t>
      </w:r>
    </w:p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imes New Roman"/>
          <w:i/>
          <w:color w:val="000000"/>
          <w:sz w:val="20"/>
          <w:szCs w:val="24"/>
        </w:rPr>
      </w:pPr>
    </w:p>
    <w:p w:rsidR="0025605C" w:rsidRPr="0025605C" w:rsidRDefault="0025605C" w:rsidP="0025605C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imes New Roman"/>
          <w:i/>
          <w:color w:val="000000"/>
          <w:sz w:val="20"/>
          <w:szCs w:val="24"/>
        </w:rPr>
      </w:pPr>
    </w:p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Tahoma" w:eastAsia="Times New Roman" w:hAnsi="Tahoma" w:cs="Times New Roman"/>
          <w:b/>
          <w:color w:val="000000"/>
          <w:sz w:val="20"/>
          <w:szCs w:val="24"/>
        </w:rPr>
      </w:pPr>
      <w:proofErr w:type="gramStart"/>
      <w:r w:rsidRPr="0025605C">
        <w:rPr>
          <w:rFonts w:ascii="Tahoma" w:eastAsia="Times New Roman" w:hAnsi="Tahoma" w:cs="Times New Roman"/>
          <w:b/>
          <w:color w:val="000000"/>
          <w:sz w:val="20"/>
          <w:szCs w:val="24"/>
        </w:rPr>
        <w:t>OGGETTO:</w:t>
      </w:r>
      <w:r w:rsidRPr="0025605C">
        <w:rPr>
          <w:rFonts w:ascii="Tahoma" w:eastAsia="Times New Roman" w:hAnsi="Tahoma" w:cs="Times New Roman"/>
          <w:b/>
          <w:color w:val="000000"/>
          <w:sz w:val="20"/>
          <w:szCs w:val="24"/>
        </w:rPr>
        <w:tab/>
      </w:r>
      <w:proofErr w:type="gramEnd"/>
      <w:r w:rsidRPr="0025605C">
        <w:rPr>
          <w:rFonts w:ascii="Tahoma" w:eastAsia="Times New Roman" w:hAnsi="Tahoma" w:cs="Times New Roman"/>
          <w:b/>
          <w:color w:val="000000"/>
          <w:sz w:val="20"/>
          <w:szCs w:val="24"/>
        </w:rPr>
        <w:t>Dettaglio delle singole voci delle prestazioni a vacazione e delle spese.</w:t>
      </w:r>
    </w:p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Tahoma" w:eastAsia="Times New Roman" w:hAnsi="Tahoma" w:cs="Times New Roman"/>
          <w:b/>
          <w:color w:val="000000"/>
          <w:sz w:val="20"/>
          <w:szCs w:val="24"/>
        </w:rPr>
      </w:pPr>
      <w:proofErr w:type="gramStart"/>
      <w:r w:rsidRPr="0025605C">
        <w:rPr>
          <w:rFonts w:ascii="Tahoma" w:eastAsia="Times New Roman" w:hAnsi="Tahoma" w:cs="Times New Roman"/>
          <w:b/>
          <w:color w:val="000000"/>
          <w:sz w:val="20"/>
          <w:szCs w:val="24"/>
        </w:rPr>
        <w:t>INCARICO:</w:t>
      </w:r>
      <w:r w:rsidRPr="0025605C">
        <w:rPr>
          <w:rFonts w:ascii="Tahoma" w:eastAsia="Times New Roman" w:hAnsi="Tahoma" w:cs="Times New Roman"/>
          <w:b/>
          <w:color w:val="000000"/>
          <w:sz w:val="20"/>
          <w:szCs w:val="24"/>
        </w:rPr>
        <w:tab/>
      </w:r>
      <w:proofErr w:type="gramEnd"/>
      <w:r w:rsidRPr="0025605C">
        <w:rPr>
          <w:rFonts w:ascii="Tahoma" w:eastAsia="Times New Roman" w:hAnsi="Tahoma" w:cs="Times New Roman"/>
          <w:b/>
          <w:color w:val="000000"/>
          <w:sz w:val="20"/>
          <w:szCs w:val="24"/>
        </w:rPr>
        <w:t xml:space="preserve">Adeguamento funzionale di palazzo Mancini da destinarsi a Centro di documentazione su </w:t>
      </w:r>
      <w:proofErr w:type="spellStart"/>
      <w:r w:rsidRPr="0025605C">
        <w:rPr>
          <w:rFonts w:ascii="Tahoma" w:eastAsia="Times New Roman" w:hAnsi="Tahoma" w:cs="Times New Roman"/>
          <w:b/>
          <w:color w:val="000000"/>
          <w:sz w:val="20"/>
          <w:szCs w:val="24"/>
        </w:rPr>
        <w:t>P.S.Mancini</w:t>
      </w:r>
      <w:proofErr w:type="spellEnd"/>
      <w:r w:rsidRPr="0025605C">
        <w:rPr>
          <w:rFonts w:ascii="Tahoma" w:eastAsia="Times New Roman" w:hAnsi="Tahoma" w:cs="Times New Roman"/>
          <w:b/>
          <w:color w:val="000000"/>
          <w:sz w:val="20"/>
          <w:szCs w:val="24"/>
        </w:rPr>
        <w:t>.</w:t>
      </w:r>
    </w:p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Tahoma" w:eastAsia="Times New Roman" w:hAnsi="Tahoma" w:cs="Times New Roman"/>
          <w:b/>
          <w:color w:val="000000"/>
          <w:sz w:val="20"/>
          <w:szCs w:val="24"/>
        </w:rPr>
      </w:pPr>
    </w:p>
    <w:p w:rsidR="0025605C" w:rsidRPr="0025605C" w:rsidRDefault="0025605C" w:rsidP="0025605C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ind w:left="1440" w:hanging="1440"/>
        <w:rPr>
          <w:rFonts w:ascii="Tahoma" w:eastAsia="Times New Roman" w:hAnsi="Tahoma" w:cs="Times New Roman"/>
          <w:b/>
          <w:color w:val="000000"/>
          <w:sz w:val="20"/>
          <w:szCs w:val="24"/>
        </w:rPr>
      </w:pPr>
    </w:p>
    <w:p w:rsidR="0025605C" w:rsidRPr="0025605C" w:rsidRDefault="0025605C" w:rsidP="0025605C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ind w:left="1440" w:hanging="1440"/>
        <w:rPr>
          <w:rFonts w:ascii="Tahoma" w:eastAsia="Times New Roman" w:hAnsi="Tahoma" w:cs="Times New Roman"/>
          <w:b/>
          <w:color w:val="000000"/>
          <w:sz w:val="20"/>
          <w:szCs w:val="24"/>
        </w:rPr>
      </w:pPr>
    </w:p>
    <w:p w:rsidR="0025605C" w:rsidRPr="0025605C" w:rsidRDefault="0025605C" w:rsidP="0025605C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ind w:left="1440" w:hanging="1440"/>
        <w:rPr>
          <w:rFonts w:ascii="Tahoma" w:eastAsia="Times New Roman" w:hAnsi="Tahoma" w:cs="Times New Roman"/>
          <w:b/>
          <w:color w:val="000000"/>
          <w:sz w:val="24"/>
          <w:szCs w:val="24"/>
        </w:rPr>
      </w:pPr>
      <w:r w:rsidRPr="0025605C">
        <w:rPr>
          <w:rFonts w:ascii="Tahoma" w:eastAsia="Times New Roman" w:hAnsi="Tahoma" w:cs="Times New Roman"/>
          <w:b/>
          <w:color w:val="000000"/>
          <w:sz w:val="24"/>
          <w:szCs w:val="24"/>
        </w:rPr>
        <w:t>DETTAGLIO delle</w:t>
      </w:r>
    </w:p>
    <w:p w:rsidR="0025605C" w:rsidRPr="0025605C" w:rsidRDefault="0025605C" w:rsidP="0025605C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ind w:left="1440" w:hanging="1440"/>
        <w:rPr>
          <w:rFonts w:ascii="Tahoma" w:eastAsia="Times New Roman" w:hAnsi="Tahoma" w:cs="Times New Roman"/>
          <w:b/>
          <w:color w:val="000000"/>
          <w:sz w:val="24"/>
          <w:szCs w:val="24"/>
        </w:rPr>
      </w:pPr>
      <w:r w:rsidRPr="0025605C">
        <w:rPr>
          <w:rFonts w:ascii="Tahoma" w:eastAsia="Times New Roman" w:hAnsi="Tahoma" w:cs="Times New Roman"/>
          <w:b/>
          <w:color w:val="000000"/>
          <w:sz w:val="24"/>
          <w:szCs w:val="24"/>
        </w:rPr>
        <w:t>SPESE E ONERI ACCESSORI</w:t>
      </w: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82"/>
        <w:gridCol w:w="7228"/>
        <w:gridCol w:w="1928"/>
      </w:tblGrid>
      <w:tr w:rsidR="0025605C" w:rsidRPr="0025605C">
        <w:trPr>
          <w:jc w:val="center"/>
        </w:trPr>
        <w:tc>
          <w:tcPr>
            <w:tcW w:w="771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16"/>
                <w:szCs w:val="24"/>
              </w:rPr>
              <w:t>Descrizione</w:t>
            </w:r>
          </w:p>
        </w:tc>
        <w:tc>
          <w:tcPr>
            <w:tcW w:w="192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Importo</w:t>
            </w: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proofErr w:type="gramStart"/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>euro</w:t>
            </w:r>
            <w:proofErr w:type="gramEnd"/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1)</w:t>
            </w:r>
          </w:p>
        </w:tc>
        <w:tc>
          <w:tcPr>
            <w:tcW w:w="72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Spese generali di studio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Spese generali di studio (forfettarie) pari al 25% del compenso per prestazioni professionali.</w:t>
            </w:r>
          </w:p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[25% * 57'911.97 €]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>14'477.99 €</w:t>
            </w: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TOTALE SPESE PROFESSIONALI</w:t>
            </w:r>
          </w:p>
        </w:tc>
        <w:tc>
          <w:tcPr>
            <w:tcW w:w="192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14'477.99 €</w:t>
            </w:r>
          </w:p>
        </w:tc>
      </w:tr>
      <w:tr w:rsidR="0025605C" w:rsidRPr="0025605C">
        <w:trPr>
          <w:jc w:val="center"/>
        </w:trPr>
        <w:tc>
          <w:tcPr>
            <w:tcW w:w="4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722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  <w:t>S.E.&amp;O.</w:t>
            </w:r>
          </w:p>
        </w:tc>
      </w:tr>
    </w:tbl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530"/>
        <w:gridCol w:w="5108"/>
      </w:tblGrid>
      <w:tr w:rsidR="0025605C" w:rsidRPr="0025605C">
        <w:trPr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b/>
                <w:color w:val="000000"/>
                <w:sz w:val="20"/>
                <w:szCs w:val="24"/>
              </w:rPr>
              <w:t>IL RESPONSABILE UNICO DEL PROCEDIMENTO</w:t>
            </w:r>
          </w:p>
        </w:tc>
      </w:tr>
      <w:tr w:rsidR="0025605C" w:rsidRPr="0025605C">
        <w:trPr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ahoma" w:eastAsia="Times New Roman" w:hAnsi="Tahoma" w:cs="Times New Roman"/>
                <w:color w:val="000000"/>
                <w:sz w:val="16"/>
                <w:szCs w:val="24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05C" w:rsidRPr="0025605C" w:rsidRDefault="0025605C" w:rsidP="0025605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</w:pPr>
            <w:r w:rsidRPr="0025605C">
              <w:rPr>
                <w:rFonts w:ascii="Tahoma" w:eastAsia="Times New Roman" w:hAnsi="Tahoma" w:cs="Times New Roman"/>
                <w:color w:val="000000"/>
                <w:sz w:val="20"/>
                <w:szCs w:val="24"/>
              </w:rPr>
              <w:t>()</w:t>
            </w:r>
          </w:p>
        </w:tc>
      </w:tr>
    </w:tbl>
    <w:p w:rsidR="0025605C" w:rsidRPr="0025605C" w:rsidRDefault="0025605C" w:rsidP="002560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605C" w:rsidRPr="0025605C" w:rsidRDefault="0025605C" w:rsidP="0025605C">
      <w:pPr>
        <w:autoSpaceDE w:val="0"/>
        <w:autoSpaceDN w:val="0"/>
        <w:adjustRightInd w:val="0"/>
        <w:spacing w:after="60" w:line="271" w:lineRule="auto"/>
        <w:jc w:val="both"/>
        <w:rPr>
          <w:rFonts w:ascii="Tahoma" w:eastAsia="Times New Roman" w:hAnsi="Tahoma" w:cs="Times New Roman"/>
          <w:color w:val="000000"/>
          <w:sz w:val="20"/>
          <w:szCs w:val="24"/>
        </w:rPr>
      </w:pPr>
    </w:p>
    <w:p w:rsidR="00A87C55" w:rsidRDefault="00EC683A"/>
    <w:sectPr w:rsidR="00A87C55" w:rsidSect="00104F8F">
      <w:pgSz w:w="11908" w:h="16833"/>
      <w:pgMar w:top="1134" w:right="1134" w:bottom="1134" w:left="1134" w:header="850" w:footer="85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05C"/>
    <w:rsid w:val="0025605C"/>
    <w:rsid w:val="00C036B4"/>
    <w:rsid w:val="00E702B7"/>
    <w:rsid w:val="00EC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29FB2-9044-4C68-A813-DAD466B5A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Ressa</dc:creator>
  <cp:keywords/>
  <dc:description/>
  <cp:lastModifiedBy>Dirigente</cp:lastModifiedBy>
  <cp:revision>2</cp:revision>
  <dcterms:created xsi:type="dcterms:W3CDTF">2018-10-15T10:39:00Z</dcterms:created>
  <dcterms:modified xsi:type="dcterms:W3CDTF">2018-10-15T10:39:00Z</dcterms:modified>
</cp:coreProperties>
</file>